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11AA6" w14:textId="77777777" w:rsidR="00B26E05" w:rsidRPr="000B6AA8" w:rsidRDefault="0085110D" w:rsidP="00B26E05">
      <w:pPr>
        <w:pStyle w:val="MediumGrid21"/>
        <w:rPr>
          <w:rFonts w:ascii="Times New Roman" w:hAnsi="Times New Roman"/>
          <w:sz w:val="24"/>
          <w:szCs w:val="24"/>
        </w:rPr>
      </w:pPr>
      <w:r w:rsidRPr="000B6AA8">
        <w:rPr>
          <w:rFonts w:ascii="Times New Roman" w:hAnsi="Times New Roman"/>
          <w:b/>
          <w:sz w:val="24"/>
          <w:szCs w:val="24"/>
        </w:rPr>
        <w:t>TITLE</w:t>
      </w:r>
      <w:r w:rsidR="00B26E05" w:rsidRPr="000B6AA8">
        <w:rPr>
          <w:rFonts w:ascii="Times New Roman" w:hAnsi="Times New Roman"/>
          <w:sz w:val="24"/>
          <w:szCs w:val="24"/>
        </w:rPr>
        <w:t>: Development of a Risk Severity Score Predicting Surgical Site Infection in Early Onset Scoliosis: Identifying High-Risk Patients</w:t>
      </w:r>
    </w:p>
    <w:p w14:paraId="2AD8385C" w14:textId="77777777" w:rsidR="00B26E05" w:rsidRPr="000B6AA8" w:rsidRDefault="00B26E05" w:rsidP="00B26E05">
      <w:pPr>
        <w:pStyle w:val="MediumGrid21"/>
        <w:rPr>
          <w:rFonts w:ascii="Times New Roman" w:hAnsi="Times New Roman"/>
          <w:sz w:val="24"/>
          <w:szCs w:val="24"/>
        </w:rPr>
      </w:pPr>
    </w:p>
    <w:p w14:paraId="43F6E409" w14:textId="77777777" w:rsidR="00B26E05" w:rsidRPr="000B6AA8" w:rsidRDefault="0085110D" w:rsidP="00B26E05">
      <w:pPr>
        <w:pStyle w:val="MediumGrid21"/>
        <w:rPr>
          <w:rFonts w:ascii="Times New Roman" w:hAnsi="Times New Roman"/>
          <w:sz w:val="24"/>
          <w:szCs w:val="24"/>
        </w:rPr>
      </w:pPr>
      <w:r w:rsidRPr="000B6AA8">
        <w:rPr>
          <w:rFonts w:ascii="Times New Roman" w:hAnsi="Times New Roman"/>
          <w:b/>
          <w:sz w:val="24"/>
          <w:szCs w:val="24"/>
        </w:rPr>
        <w:t>AUTHORS</w:t>
      </w:r>
      <w:r w:rsidR="00B26E05" w:rsidRPr="000B6AA8">
        <w:rPr>
          <w:rFonts w:ascii="Times New Roman" w:hAnsi="Times New Roman"/>
          <w:sz w:val="24"/>
          <w:szCs w:val="24"/>
        </w:rPr>
        <w:t>: Hiroko Matsumoto, Anas Minkara, Nicholas Feinberg, John Smith, Amber Samdani, Michael Glotzbecker, Jeff Sawyer, David Skaggs, David Roye, Michael Vitale, Children’s Spine Study Group, Growing Spine Study Group</w:t>
      </w:r>
    </w:p>
    <w:p w14:paraId="7196F31A" w14:textId="77777777" w:rsidR="00B26E05" w:rsidRPr="000B6AA8" w:rsidRDefault="00B26E05" w:rsidP="00B26E05">
      <w:pPr>
        <w:rPr>
          <w:rFonts w:ascii="Times New Roman" w:hAnsi="Times New Roman" w:cs="Times New Roman"/>
          <w:b/>
        </w:rPr>
      </w:pPr>
    </w:p>
    <w:p w14:paraId="46F91160" w14:textId="209D937F" w:rsidR="00B26E05" w:rsidRPr="000B6AA8" w:rsidRDefault="0085110D" w:rsidP="00B26E05">
      <w:pPr>
        <w:rPr>
          <w:rFonts w:ascii="Times New Roman" w:hAnsi="Times New Roman" w:cs="Times New Roman"/>
        </w:rPr>
      </w:pPr>
      <w:r w:rsidRPr="000B6AA8">
        <w:rPr>
          <w:rFonts w:ascii="Times New Roman" w:hAnsi="Times New Roman" w:cs="Times New Roman"/>
          <w:b/>
        </w:rPr>
        <w:t>SUMMARY</w:t>
      </w:r>
      <w:r w:rsidR="00B26E05" w:rsidRPr="000B6AA8">
        <w:rPr>
          <w:rFonts w:ascii="Times New Roman" w:hAnsi="Times New Roman" w:cs="Times New Roman"/>
          <w:b/>
        </w:rPr>
        <w:t>:</w:t>
      </w:r>
      <w:r w:rsidR="00B26E05" w:rsidRPr="000B6AA8">
        <w:rPr>
          <w:rFonts w:ascii="Times New Roman" w:hAnsi="Times New Roman" w:cs="Times New Roman"/>
        </w:rPr>
        <w:t xml:space="preserve"> The RSS will serve as a useful tool to quantify the risk of SSI when considering operative intervention in patients with early onset scoliosis undergoing spinal surgery. </w:t>
      </w:r>
      <w:r w:rsidR="00D33FAE" w:rsidRPr="000B6AA8">
        <w:rPr>
          <w:rFonts w:ascii="Times New Roman" w:hAnsi="Times New Roman" w:cs="Times New Roman"/>
        </w:rPr>
        <w:t xml:space="preserve">The risk severity score included neuromuscular etiology, myelomeningocele, spinal muscular atrophy, endocrine comorbidity, gastrointestinal comorbidity, pulmonary comorbidity, developmental delay, urinary incontinence, and ventriculoperitoneal shunt. </w:t>
      </w:r>
      <w:bookmarkStart w:id="0" w:name="_GoBack"/>
      <w:bookmarkEnd w:id="0"/>
      <w:r w:rsidR="00B26E05" w:rsidRPr="000B6AA8">
        <w:rPr>
          <w:rFonts w:ascii="Times New Roman" w:hAnsi="Times New Roman" w:cs="Times New Roman"/>
        </w:rPr>
        <w:t>The RSS will improve shared decision making with patients and families during preoperative counseling and aid policy makers and administrators in determining reliable and valid risk-adjusted outcome measures.</w:t>
      </w:r>
    </w:p>
    <w:p w14:paraId="5C1C5D20" w14:textId="77777777" w:rsidR="00B26E05" w:rsidRPr="000B6AA8" w:rsidRDefault="00B26E05">
      <w:pPr>
        <w:rPr>
          <w:rFonts w:ascii="Times New Roman" w:hAnsi="Times New Roman" w:cs="Times New Roman"/>
        </w:rPr>
      </w:pPr>
    </w:p>
    <w:p w14:paraId="472D78E1" w14:textId="77777777" w:rsidR="0085110D" w:rsidRPr="000B6AA8" w:rsidRDefault="0085110D">
      <w:pPr>
        <w:rPr>
          <w:rFonts w:ascii="Times New Roman" w:hAnsi="Times New Roman" w:cs="Times New Roman"/>
          <w:b/>
        </w:rPr>
      </w:pPr>
      <w:r w:rsidRPr="000B6AA8">
        <w:rPr>
          <w:rFonts w:ascii="Times New Roman" w:hAnsi="Times New Roman" w:cs="Times New Roman"/>
          <w:b/>
        </w:rPr>
        <w:t>ABSTR</w:t>
      </w:r>
      <w:r w:rsidR="000B6AA8" w:rsidRPr="000B6AA8">
        <w:rPr>
          <w:rFonts w:ascii="Times New Roman" w:hAnsi="Times New Roman" w:cs="Times New Roman"/>
          <w:b/>
        </w:rPr>
        <w:t>ACT</w:t>
      </w:r>
      <w:r w:rsidRPr="000B6AA8">
        <w:rPr>
          <w:rFonts w:ascii="Times New Roman" w:hAnsi="Times New Roman" w:cs="Times New Roman"/>
          <w:b/>
        </w:rPr>
        <w:t xml:space="preserve">: </w:t>
      </w:r>
    </w:p>
    <w:p w14:paraId="36832AED" w14:textId="77777777" w:rsidR="0085110D" w:rsidRPr="000B6AA8" w:rsidRDefault="0085110D">
      <w:pPr>
        <w:rPr>
          <w:rFonts w:ascii="Times New Roman" w:hAnsi="Times New Roman" w:cs="Times New Roman"/>
          <w:b/>
        </w:rPr>
      </w:pPr>
    </w:p>
    <w:p w14:paraId="6112A21C" w14:textId="77777777" w:rsidR="00B26E05" w:rsidRPr="000B6AA8" w:rsidRDefault="00B26E05" w:rsidP="00B26E05">
      <w:pPr>
        <w:rPr>
          <w:rFonts w:ascii="Times New Roman" w:hAnsi="Times New Roman" w:cs="Times New Roman"/>
        </w:rPr>
      </w:pPr>
      <w:r w:rsidRPr="000B6AA8">
        <w:rPr>
          <w:rFonts w:ascii="Times New Roman" w:hAnsi="Times New Roman" w:cs="Times New Roman"/>
          <w:b/>
        </w:rPr>
        <w:t xml:space="preserve">Introduction: </w:t>
      </w:r>
      <w:r w:rsidRPr="000B6AA8">
        <w:rPr>
          <w:rFonts w:ascii="Times New Roman" w:hAnsi="Times New Roman" w:cs="Times New Roman"/>
        </w:rPr>
        <w:t xml:space="preserve">Surgical site infections (SSI) in children with early onset scoliosis (EOS) have a major impact on quality of life, caretaker burden and healthcare expenditure. This study aims to develop </w:t>
      </w:r>
      <w:r w:rsidR="00C14494" w:rsidRPr="000B6AA8">
        <w:rPr>
          <w:rFonts w:ascii="Times New Roman" w:hAnsi="Times New Roman" w:cs="Times New Roman"/>
        </w:rPr>
        <w:t xml:space="preserve">and evaluate </w:t>
      </w:r>
      <w:r w:rsidRPr="000B6AA8">
        <w:rPr>
          <w:rFonts w:ascii="Times New Roman" w:hAnsi="Times New Roman" w:cs="Times New Roman"/>
        </w:rPr>
        <w:t xml:space="preserve">a risk severity score (RSS) system based on patients’ </w:t>
      </w:r>
      <w:r w:rsidR="00C14494" w:rsidRPr="000B6AA8">
        <w:rPr>
          <w:rFonts w:ascii="Times New Roman" w:hAnsi="Times New Roman" w:cs="Times New Roman"/>
        </w:rPr>
        <w:t>preoperative information</w:t>
      </w:r>
      <w:r w:rsidRPr="000B6AA8">
        <w:rPr>
          <w:rFonts w:ascii="Times New Roman" w:hAnsi="Times New Roman" w:cs="Times New Roman"/>
        </w:rPr>
        <w:t xml:space="preserve"> to predict SSI in EOS patients undergoing spinal surgery.</w:t>
      </w:r>
    </w:p>
    <w:p w14:paraId="22E1E81C" w14:textId="77777777" w:rsidR="00B26E05" w:rsidRPr="000B6AA8" w:rsidRDefault="00B26E05" w:rsidP="00B26E05">
      <w:pPr>
        <w:rPr>
          <w:rFonts w:ascii="Times New Roman" w:hAnsi="Times New Roman" w:cs="Times New Roman"/>
        </w:rPr>
      </w:pPr>
    </w:p>
    <w:p w14:paraId="4F924F24" w14:textId="77777777" w:rsidR="00B26E05" w:rsidRPr="000B6AA8" w:rsidRDefault="00B26E05" w:rsidP="00B26E05">
      <w:pPr>
        <w:rPr>
          <w:rFonts w:ascii="Times New Roman" w:hAnsi="Times New Roman" w:cs="Times New Roman"/>
        </w:rPr>
      </w:pPr>
      <w:r w:rsidRPr="000B6AA8">
        <w:rPr>
          <w:rFonts w:ascii="Times New Roman" w:hAnsi="Times New Roman" w:cs="Times New Roman"/>
          <w:b/>
        </w:rPr>
        <w:t xml:space="preserve">Hypothesis: </w:t>
      </w:r>
      <w:r w:rsidRPr="000B6AA8">
        <w:rPr>
          <w:rFonts w:ascii="Times New Roman" w:hAnsi="Times New Roman" w:cs="Times New Roman"/>
        </w:rPr>
        <w:t>A risk severity score model utilizing patient characteristics can be developed to predict SSI in patients with early onset scoliosis undergoing spinal surgery.</w:t>
      </w:r>
    </w:p>
    <w:p w14:paraId="3AF2F12B" w14:textId="77777777" w:rsidR="00B26E05" w:rsidRPr="000B6AA8" w:rsidRDefault="00B26E05" w:rsidP="00B26E05">
      <w:pPr>
        <w:rPr>
          <w:rFonts w:ascii="Times New Roman" w:hAnsi="Times New Roman" w:cs="Times New Roman"/>
        </w:rPr>
      </w:pPr>
    </w:p>
    <w:p w14:paraId="151AD757" w14:textId="77777777" w:rsidR="00B26E05" w:rsidRPr="000B6AA8" w:rsidRDefault="00B26E05" w:rsidP="00B26E05">
      <w:pPr>
        <w:rPr>
          <w:rFonts w:ascii="Times New Roman" w:hAnsi="Times New Roman" w:cs="Times New Roman"/>
        </w:rPr>
      </w:pPr>
      <w:r w:rsidRPr="000B6AA8">
        <w:rPr>
          <w:rFonts w:ascii="Times New Roman" w:hAnsi="Times New Roman" w:cs="Times New Roman"/>
          <w:b/>
        </w:rPr>
        <w:t>Design:</w:t>
      </w:r>
      <w:r w:rsidRPr="000B6AA8">
        <w:rPr>
          <w:rFonts w:ascii="Times New Roman" w:hAnsi="Times New Roman" w:cs="Times New Roman"/>
        </w:rPr>
        <w:t xml:space="preserve"> Multicenter retrospective cohort study</w:t>
      </w:r>
    </w:p>
    <w:p w14:paraId="41C3DA7B" w14:textId="77777777" w:rsidR="00B26E05" w:rsidRPr="000B6AA8" w:rsidRDefault="00B26E05" w:rsidP="00B26E05">
      <w:pPr>
        <w:rPr>
          <w:rFonts w:ascii="Times New Roman" w:hAnsi="Times New Roman" w:cs="Times New Roman"/>
        </w:rPr>
      </w:pPr>
    </w:p>
    <w:p w14:paraId="11A16B2A" w14:textId="1841EEEA" w:rsidR="00B26E05" w:rsidRPr="000B6AA8" w:rsidRDefault="00B26E05" w:rsidP="00B26E05">
      <w:pPr>
        <w:rPr>
          <w:rFonts w:ascii="Times New Roman" w:hAnsi="Times New Roman" w:cs="Times New Roman"/>
        </w:rPr>
      </w:pPr>
      <w:r w:rsidRPr="000B6AA8">
        <w:rPr>
          <w:rFonts w:ascii="Times New Roman" w:hAnsi="Times New Roman" w:cs="Times New Roman"/>
          <w:b/>
        </w:rPr>
        <w:t>Methods:</w:t>
      </w:r>
      <w:r w:rsidRPr="000B6AA8">
        <w:rPr>
          <w:rFonts w:ascii="Times New Roman" w:hAnsi="Times New Roman" w:cs="Times New Roman"/>
        </w:rPr>
        <w:t xml:space="preserve"> Pediatric pat</w:t>
      </w:r>
      <w:r w:rsidR="000E19DC" w:rsidRPr="000B6AA8">
        <w:rPr>
          <w:rFonts w:ascii="Times New Roman" w:hAnsi="Times New Roman" w:cs="Times New Roman"/>
        </w:rPr>
        <w:t>ients who underwent surgery in 50</w:t>
      </w:r>
      <w:r w:rsidRPr="000B6AA8">
        <w:rPr>
          <w:rFonts w:ascii="Times New Roman" w:hAnsi="Times New Roman" w:cs="Times New Roman"/>
        </w:rPr>
        <w:t xml:space="preserve"> academic in</w:t>
      </w:r>
      <w:r w:rsidR="000E19DC" w:rsidRPr="000B6AA8">
        <w:rPr>
          <w:rFonts w:ascii="Times New Roman" w:hAnsi="Times New Roman" w:cs="Times New Roman"/>
        </w:rPr>
        <w:t>stitutions, between October 2010 and December 2016</w:t>
      </w:r>
      <w:r w:rsidRPr="000B6AA8">
        <w:rPr>
          <w:rFonts w:ascii="Times New Roman" w:hAnsi="Times New Roman" w:cs="Times New Roman"/>
        </w:rPr>
        <w:t>, were enrol</w:t>
      </w:r>
      <w:r w:rsidR="005A17B2">
        <w:rPr>
          <w:rFonts w:ascii="Times New Roman" w:hAnsi="Times New Roman" w:cs="Times New Roman"/>
        </w:rPr>
        <w:t xml:space="preserve">led. Patients undergoing initial implantation or fusion were </w:t>
      </w:r>
      <w:r w:rsidRPr="000B6AA8">
        <w:rPr>
          <w:rFonts w:ascii="Times New Roman" w:hAnsi="Times New Roman" w:cs="Times New Roman"/>
        </w:rPr>
        <w:t>included. Patient characteristics, preoperative lab values, and clinical data were collected. The CDC’s definition of SSI (infection within 90 days of surgery) was used.</w:t>
      </w:r>
      <w:r w:rsidR="00C14494" w:rsidRPr="000B6AA8">
        <w:rPr>
          <w:rFonts w:ascii="Times New Roman" w:hAnsi="Times New Roman" w:cs="Times New Roman"/>
        </w:rPr>
        <w:t xml:space="preserve"> </w:t>
      </w:r>
      <w:r w:rsidR="002155E6" w:rsidRPr="000B6AA8">
        <w:rPr>
          <w:rFonts w:ascii="Times New Roman" w:hAnsi="Times New Roman" w:cs="Times New Roman"/>
        </w:rPr>
        <w:t>In order to develop RSS, m</w:t>
      </w:r>
      <w:r w:rsidR="00C14494" w:rsidRPr="000B6AA8">
        <w:rPr>
          <w:rFonts w:ascii="Times New Roman" w:hAnsi="Times New Roman" w:cs="Times New Roman"/>
        </w:rPr>
        <w:t>ul</w:t>
      </w:r>
      <w:r w:rsidR="009148F5" w:rsidRPr="000B6AA8">
        <w:rPr>
          <w:rFonts w:ascii="Times New Roman" w:hAnsi="Times New Roman" w:cs="Times New Roman"/>
        </w:rPr>
        <w:t>tiple logistic regression model</w:t>
      </w:r>
      <w:r w:rsidR="00C14494" w:rsidRPr="000B6AA8">
        <w:rPr>
          <w:rFonts w:ascii="Times New Roman" w:hAnsi="Times New Roman" w:cs="Times New Roman"/>
        </w:rPr>
        <w:t xml:space="preserve"> was utilized to identify preoperative variables (demographics, c</w:t>
      </w:r>
      <w:r w:rsidR="002155E6" w:rsidRPr="000B6AA8">
        <w:rPr>
          <w:rFonts w:ascii="Times New Roman" w:hAnsi="Times New Roman" w:cs="Times New Roman"/>
        </w:rPr>
        <w:t>haracteristics comorbidities) for the</w:t>
      </w:r>
      <w:r w:rsidR="00C14494" w:rsidRPr="000B6AA8">
        <w:rPr>
          <w:rFonts w:ascii="Times New Roman" w:hAnsi="Times New Roman" w:cs="Times New Roman"/>
        </w:rPr>
        <w:t xml:space="preserve"> predict</w:t>
      </w:r>
      <w:r w:rsidR="002155E6" w:rsidRPr="000B6AA8">
        <w:rPr>
          <w:rFonts w:ascii="Times New Roman" w:hAnsi="Times New Roman" w:cs="Times New Roman"/>
        </w:rPr>
        <w:t>ion of</w:t>
      </w:r>
      <w:r w:rsidR="00C14494" w:rsidRPr="000B6AA8">
        <w:rPr>
          <w:rFonts w:ascii="Times New Roman" w:hAnsi="Times New Roman" w:cs="Times New Roman"/>
        </w:rPr>
        <w:t xml:space="preserve"> SSI outcome. </w:t>
      </w:r>
    </w:p>
    <w:p w14:paraId="7898F2DC" w14:textId="77777777" w:rsidR="00B26E05" w:rsidRPr="000B6AA8" w:rsidRDefault="00B26E05" w:rsidP="00B26E05">
      <w:pPr>
        <w:rPr>
          <w:rFonts w:ascii="Times New Roman" w:hAnsi="Times New Roman" w:cs="Times New Roman"/>
          <w:highlight w:val="yellow"/>
        </w:rPr>
      </w:pPr>
    </w:p>
    <w:p w14:paraId="1EA9E280" w14:textId="77777777" w:rsidR="00B26E05" w:rsidRPr="000B6AA8" w:rsidRDefault="00B26E05" w:rsidP="00B26E05">
      <w:pPr>
        <w:rPr>
          <w:rFonts w:ascii="Times New Roman" w:hAnsi="Times New Roman" w:cs="Times New Roman"/>
        </w:rPr>
      </w:pPr>
      <w:r w:rsidRPr="000B6AA8">
        <w:rPr>
          <w:rFonts w:ascii="Times New Roman" w:hAnsi="Times New Roman" w:cs="Times New Roman"/>
          <w:b/>
        </w:rPr>
        <w:t>Results:</w:t>
      </w:r>
      <w:r w:rsidR="00B663AE" w:rsidRPr="000B6AA8">
        <w:rPr>
          <w:rFonts w:ascii="Times New Roman" w:hAnsi="Times New Roman" w:cs="Times New Roman"/>
        </w:rPr>
        <w:t xml:space="preserve"> In total, 1,168</w:t>
      </w:r>
      <w:r w:rsidRPr="000B6AA8">
        <w:rPr>
          <w:rFonts w:ascii="Times New Roman" w:hAnsi="Times New Roman" w:cs="Times New Roman"/>
        </w:rPr>
        <w:t xml:space="preserve"> patients were identified</w:t>
      </w:r>
      <w:r w:rsidR="00B663AE" w:rsidRPr="000B6AA8">
        <w:rPr>
          <w:rFonts w:ascii="Times New Roman" w:hAnsi="Times New Roman" w:cs="Times New Roman"/>
        </w:rPr>
        <w:t xml:space="preserve"> and 79 </w:t>
      </w:r>
      <w:r w:rsidR="000E19DC" w:rsidRPr="000B6AA8">
        <w:rPr>
          <w:rFonts w:ascii="Times New Roman" w:hAnsi="Times New Roman" w:cs="Times New Roman"/>
        </w:rPr>
        <w:t>patients (6.8%) obtained SSI</w:t>
      </w:r>
      <w:r w:rsidRPr="000B6AA8">
        <w:rPr>
          <w:rFonts w:ascii="Times New Roman" w:hAnsi="Times New Roman" w:cs="Times New Roman"/>
        </w:rPr>
        <w:t>. The average age</w:t>
      </w:r>
      <w:r w:rsidR="00D33FAE" w:rsidRPr="000B6AA8">
        <w:rPr>
          <w:rFonts w:ascii="Times New Roman" w:hAnsi="Times New Roman" w:cs="Times New Roman"/>
        </w:rPr>
        <w:t xml:space="preserve"> at surgery was 7.7 years and 57</w:t>
      </w:r>
      <w:r w:rsidRPr="000B6AA8">
        <w:rPr>
          <w:rFonts w:ascii="Times New Roman" w:hAnsi="Times New Roman" w:cs="Times New Roman"/>
        </w:rPr>
        <w:t xml:space="preserve">% of patients were female. EOS etiology consisted of: </w:t>
      </w:r>
      <w:r w:rsidR="006D77AB" w:rsidRPr="000B6AA8">
        <w:rPr>
          <w:rFonts w:ascii="Times New Roman" w:hAnsi="Times New Roman" w:cs="Times New Roman"/>
        </w:rPr>
        <w:t>403</w:t>
      </w:r>
      <w:r w:rsidRPr="000B6AA8">
        <w:rPr>
          <w:rFonts w:ascii="Times New Roman" w:hAnsi="Times New Roman" w:cs="Times New Roman"/>
        </w:rPr>
        <w:t xml:space="preserve"> </w:t>
      </w:r>
      <w:r w:rsidR="006D77AB" w:rsidRPr="000B6AA8">
        <w:rPr>
          <w:rFonts w:ascii="Times New Roman" w:hAnsi="Times New Roman" w:cs="Times New Roman"/>
        </w:rPr>
        <w:t xml:space="preserve">(34%) </w:t>
      </w:r>
      <w:r w:rsidRPr="000B6AA8">
        <w:rPr>
          <w:rFonts w:ascii="Times New Roman" w:hAnsi="Times New Roman" w:cs="Times New Roman"/>
        </w:rPr>
        <w:t>neuromuscular</w:t>
      </w:r>
      <w:r w:rsidR="00D33FAE" w:rsidRPr="000B6AA8">
        <w:rPr>
          <w:rFonts w:ascii="Times New Roman" w:hAnsi="Times New Roman" w:cs="Times New Roman"/>
        </w:rPr>
        <w:t>, 289 (24%) idiopathic, 255 (22</w:t>
      </w:r>
      <w:r w:rsidR="006D77AB" w:rsidRPr="000B6AA8">
        <w:rPr>
          <w:rFonts w:ascii="Times New Roman" w:hAnsi="Times New Roman" w:cs="Times New Roman"/>
        </w:rPr>
        <w:t>%) synd</w:t>
      </w:r>
      <w:r w:rsidR="00D33FAE" w:rsidRPr="000B6AA8">
        <w:rPr>
          <w:rFonts w:ascii="Times New Roman" w:hAnsi="Times New Roman" w:cs="Times New Roman"/>
        </w:rPr>
        <w:t xml:space="preserve">romic, and 242 (20%) congenital. </w:t>
      </w:r>
      <w:r w:rsidR="009148F5" w:rsidRPr="000B6AA8">
        <w:rPr>
          <w:rFonts w:ascii="Times New Roman" w:hAnsi="Times New Roman" w:cs="Times New Roman"/>
        </w:rPr>
        <w:t xml:space="preserve">The </w:t>
      </w:r>
      <w:r w:rsidR="002155E6" w:rsidRPr="000B6AA8">
        <w:rPr>
          <w:rFonts w:ascii="Times New Roman" w:hAnsi="Times New Roman" w:cs="Times New Roman"/>
        </w:rPr>
        <w:t>RSS score</w:t>
      </w:r>
      <w:r w:rsidR="00C14494" w:rsidRPr="000B6AA8">
        <w:rPr>
          <w:rFonts w:ascii="Times New Roman" w:hAnsi="Times New Roman" w:cs="Times New Roman"/>
        </w:rPr>
        <w:t xml:space="preserve"> included neuromuscular etiology (OR: 2.3), </w:t>
      </w:r>
      <w:r w:rsidR="009148F5" w:rsidRPr="000B6AA8">
        <w:rPr>
          <w:rFonts w:ascii="Times New Roman" w:hAnsi="Times New Roman" w:cs="Times New Roman"/>
        </w:rPr>
        <w:t>my</w:t>
      </w:r>
      <w:r w:rsidR="002155E6" w:rsidRPr="000B6AA8">
        <w:rPr>
          <w:rFonts w:ascii="Times New Roman" w:hAnsi="Times New Roman" w:cs="Times New Roman"/>
        </w:rPr>
        <w:t>e</w:t>
      </w:r>
      <w:r w:rsidR="00A049E0" w:rsidRPr="000B6AA8">
        <w:rPr>
          <w:rFonts w:ascii="Times New Roman" w:hAnsi="Times New Roman" w:cs="Times New Roman"/>
        </w:rPr>
        <w:t>lomeningocele (OR: 1.5)</w:t>
      </w:r>
      <w:r w:rsidR="009148F5" w:rsidRPr="000B6AA8">
        <w:rPr>
          <w:rFonts w:ascii="Times New Roman" w:hAnsi="Times New Roman" w:cs="Times New Roman"/>
        </w:rPr>
        <w:t>, spinal</w:t>
      </w:r>
      <w:r w:rsidR="00A049E0" w:rsidRPr="000B6AA8">
        <w:rPr>
          <w:rFonts w:ascii="Times New Roman" w:hAnsi="Times New Roman" w:cs="Times New Roman"/>
        </w:rPr>
        <w:t xml:space="preserve"> muscular atrophy (OR: 1.4), endocrine comorbidity (OR: 4.3), gastrointestinal comorbidity (OR: 1.3), pulmonary comorbidity (OR: 1.2), developmental delay (OR: 1.4), urinary incontinence (OR: 1.3), and </w:t>
      </w:r>
      <w:r w:rsidR="009148F5" w:rsidRPr="000B6AA8">
        <w:rPr>
          <w:rFonts w:ascii="Times New Roman" w:hAnsi="Times New Roman" w:cs="Times New Roman"/>
        </w:rPr>
        <w:t>ventriculoperitoneal shunt (OR</w:t>
      </w:r>
      <w:r w:rsidR="00FC7974" w:rsidRPr="000B6AA8">
        <w:rPr>
          <w:rFonts w:ascii="Times New Roman" w:hAnsi="Times New Roman" w:cs="Times New Roman"/>
        </w:rPr>
        <w:t>: 1.5</w:t>
      </w:r>
      <w:r w:rsidR="009148F5" w:rsidRPr="0050396C">
        <w:rPr>
          <w:rFonts w:ascii="Times New Roman" w:hAnsi="Times New Roman" w:cs="Times New Roman"/>
        </w:rPr>
        <w:t>).</w:t>
      </w:r>
      <w:r w:rsidR="002155E6" w:rsidRPr="0050396C">
        <w:rPr>
          <w:rFonts w:ascii="Times New Roman" w:hAnsi="Times New Roman" w:cs="Times New Roman"/>
        </w:rPr>
        <w:t xml:space="preserve">  </w:t>
      </w:r>
      <w:r w:rsidR="00074507" w:rsidRPr="0050396C">
        <w:rPr>
          <w:rFonts w:ascii="Times New Roman" w:hAnsi="Times New Roman" w:cs="Times New Roman"/>
        </w:rPr>
        <w:t xml:space="preserve">The model predicted a 3.3% probability of SSI for patients with none of these risk factors, and a 68.4% probability of SSI for patients with myelomeningocele, endocrine comorbidity, gastrointestinal comorbidity, pulmonary comorbidity, </w:t>
      </w:r>
      <w:r w:rsidR="000B6AA8" w:rsidRPr="0050396C">
        <w:rPr>
          <w:rFonts w:ascii="Times New Roman" w:hAnsi="Times New Roman" w:cs="Times New Roman"/>
        </w:rPr>
        <w:t>develop</w:t>
      </w:r>
      <w:r w:rsidR="00074507" w:rsidRPr="0050396C">
        <w:rPr>
          <w:rFonts w:ascii="Times New Roman" w:hAnsi="Times New Roman" w:cs="Times New Roman"/>
        </w:rPr>
        <w:t>mental delay</w:t>
      </w:r>
      <w:r w:rsidR="000B6AA8" w:rsidRPr="0050396C">
        <w:rPr>
          <w:rFonts w:ascii="Times New Roman" w:hAnsi="Times New Roman" w:cs="Times New Roman"/>
        </w:rPr>
        <w:t>, urinary incont</w:t>
      </w:r>
      <w:r w:rsidR="00074507" w:rsidRPr="0050396C">
        <w:rPr>
          <w:rFonts w:ascii="Times New Roman" w:hAnsi="Times New Roman" w:cs="Times New Roman"/>
        </w:rPr>
        <w:t>inence</w:t>
      </w:r>
      <w:r w:rsidR="000B6AA8" w:rsidRPr="0050396C">
        <w:rPr>
          <w:rFonts w:ascii="Times New Roman" w:hAnsi="Times New Roman" w:cs="Times New Roman"/>
        </w:rPr>
        <w:t xml:space="preserve">, </w:t>
      </w:r>
      <w:r w:rsidR="00074507" w:rsidRPr="0050396C">
        <w:rPr>
          <w:rFonts w:ascii="Times New Roman" w:hAnsi="Times New Roman" w:cs="Times New Roman"/>
        </w:rPr>
        <w:t xml:space="preserve">and </w:t>
      </w:r>
      <w:r w:rsidR="000B6AA8" w:rsidRPr="0050396C">
        <w:rPr>
          <w:rFonts w:ascii="Times New Roman" w:hAnsi="Times New Roman" w:cs="Times New Roman"/>
        </w:rPr>
        <w:t>ventriculoperiton</w:t>
      </w:r>
      <w:r w:rsidR="00074507" w:rsidRPr="0050396C">
        <w:rPr>
          <w:rFonts w:ascii="Times New Roman" w:hAnsi="Times New Roman" w:cs="Times New Roman"/>
        </w:rPr>
        <w:t xml:space="preserve">eal shunt. </w:t>
      </w:r>
      <w:r w:rsidR="002155E6" w:rsidRPr="0050396C">
        <w:rPr>
          <w:rFonts w:ascii="Times New Roman" w:hAnsi="Times New Roman" w:cs="Times New Roman"/>
        </w:rPr>
        <w:t>The RSS</w:t>
      </w:r>
      <w:r w:rsidR="009148F5" w:rsidRPr="0050396C">
        <w:rPr>
          <w:rFonts w:ascii="Times New Roman" w:hAnsi="Times New Roman" w:cs="Times New Roman"/>
        </w:rPr>
        <w:t xml:space="preserve"> had good discrimination </w:t>
      </w:r>
      <w:r w:rsidR="002155E6" w:rsidRPr="0050396C">
        <w:rPr>
          <w:rFonts w:ascii="Times New Roman" w:hAnsi="Times New Roman" w:cs="Times New Roman"/>
        </w:rPr>
        <w:t xml:space="preserve">in identifying true positives while minimizing false positives </w:t>
      </w:r>
      <w:r w:rsidR="009148F5" w:rsidRPr="0050396C">
        <w:rPr>
          <w:rFonts w:ascii="Times New Roman" w:hAnsi="Times New Roman" w:cs="Times New Roman"/>
        </w:rPr>
        <w:t>(c-statistic = 0.706) and excellent calibration (Hosmer-Lemeshow</w:t>
      </w:r>
      <w:r w:rsidR="009148F5" w:rsidRPr="000B6AA8">
        <w:rPr>
          <w:rFonts w:ascii="Times New Roman" w:hAnsi="Times New Roman" w:cs="Times New Roman"/>
        </w:rPr>
        <w:t xml:space="preserve"> statistics p&lt;0.05). </w:t>
      </w:r>
    </w:p>
    <w:p w14:paraId="766316A6" w14:textId="77777777" w:rsidR="00D33FAE" w:rsidRPr="000B6AA8" w:rsidRDefault="00D33FAE" w:rsidP="00B26E05">
      <w:pPr>
        <w:rPr>
          <w:rFonts w:ascii="Times New Roman" w:hAnsi="Times New Roman" w:cs="Times New Roman"/>
        </w:rPr>
      </w:pPr>
    </w:p>
    <w:p w14:paraId="5268C974" w14:textId="77777777" w:rsidR="00B26E05" w:rsidRPr="000B6AA8" w:rsidRDefault="00B26E05" w:rsidP="00B26E05">
      <w:pPr>
        <w:rPr>
          <w:rFonts w:ascii="Times New Roman" w:hAnsi="Times New Roman" w:cs="Times New Roman"/>
        </w:rPr>
      </w:pPr>
      <w:r w:rsidRPr="000B6AA8">
        <w:rPr>
          <w:rFonts w:ascii="Times New Roman" w:hAnsi="Times New Roman" w:cs="Times New Roman"/>
          <w:b/>
        </w:rPr>
        <w:t>Conclusions:</w:t>
      </w:r>
      <w:r w:rsidRPr="000B6AA8">
        <w:rPr>
          <w:rFonts w:ascii="Times New Roman" w:hAnsi="Times New Roman" w:cs="Times New Roman"/>
        </w:rPr>
        <w:t xml:space="preserve"> The RSS </w:t>
      </w:r>
      <w:r w:rsidR="002155E6" w:rsidRPr="000B6AA8">
        <w:rPr>
          <w:rFonts w:ascii="Times New Roman" w:hAnsi="Times New Roman" w:cs="Times New Roman"/>
        </w:rPr>
        <w:t xml:space="preserve">was developed using data from two national registries, and it provides empirically derived, patient-specific SSI risks. </w:t>
      </w:r>
      <w:r w:rsidRPr="000B6AA8">
        <w:rPr>
          <w:rFonts w:ascii="Times New Roman" w:hAnsi="Times New Roman" w:cs="Times New Roman"/>
        </w:rPr>
        <w:t xml:space="preserve">It </w:t>
      </w:r>
      <w:r w:rsidR="002155E6" w:rsidRPr="000B6AA8">
        <w:rPr>
          <w:rFonts w:ascii="Times New Roman" w:hAnsi="Times New Roman" w:cs="Times New Roman"/>
        </w:rPr>
        <w:t xml:space="preserve">can be used as a toll in the shared decision-making process by providing surgeons, patients and caregivers with useful information. It also allows us to </w:t>
      </w:r>
      <w:r w:rsidRPr="000B6AA8">
        <w:rPr>
          <w:rFonts w:ascii="Times New Roman" w:hAnsi="Times New Roman" w:cs="Times New Roman"/>
        </w:rPr>
        <w:t xml:space="preserve">prepare for high-risk patients. The RSS can facilitate outcome comparisons between hospitals caring for EOS patients. </w:t>
      </w:r>
      <w:r w:rsidR="002155E6" w:rsidRPr="000B6AA8">
        <w:rPr>
          <w:rFonts w:ascii="Times New Roman" w:hAnsi="Times New Roman" w:cs="Times New Roman"/>
        </w:rPr>
        <w:t xml:space="preserve">Further investigations on interactions among high-risk patients and surgical factors and/or </w:t>
      </w:r>
      <w:r w:rsidRPr="000B6AA8">
        <w:rPr>
          <w:rFonts w:ascii="Times New Roman" w:hAnsi="Times New Roman" w:cs="Times New Roman"/>
        </w:rPr>
        <w:t>perioperative infection prophylaxis</w:t>
      </w:r>
      <w:r w:rsidR="002155E6" w:rsidRPr="000B6AA8">
        <w:rPr>
          <w:rFonts w:ascii="Times New Roman" w:hAnsi="Times New Roman" w:cs="Times New Roman"/>
        </w:rPr>
        <w:t xml:space="preserve"> are underway. </w:t>
      </w:r>
    </w:p>
    <w:p w14:paraId="19053764" w14:textId="77777777" w:rsidR="00B26E05" w:rsidRPr="00B26E05" w:rsidRDefault="00B26E05" w:rsidP="00B26E05"/>
    <w:p w14:paraId="782ABF68" w14:textId="77777777" w:rsidR="00B26E05" w:rsidRDefault="00B26E05"/>
    <w:p w14:paraId="1AFDEEF2" w14:textId="77777777" w:rsidR="0085110D" w:rsidRDefault="0085110D"/>
    <w:p w14:paraId="1AC47EA0" w14:textId="77777777" w:rsidR="0085110D" w:rsidRDefault="0085110D"/>
    <w:p w14:paraId="7F3A8940" w14:textId="77777777" w:rsidR="0085110D" w:rsidRDefault="0085110D"/>
    <w:p w14:paraId="03B0673F" w14:textId="77777777" w:rsidR="0085110D" w:rsidRDefault="0085110D"/>
    <w:p w14:paraId="21758D44" w14:textId="77777777" w:rsidR="0085110D" w:rsidRDefault="0085110D"/>
    <w:p w14:paraId="35B93814" w14:textId="77777777" w:rsidR="0085110D" w:rsidRDefault="0085110D"/>
    <w:p w14:paraId="1DA930F5" w14:textId="77777777" w:rsidR="0085110D" w:rsidRDefault="0085110D"/>
    <w:p w14:paraId="7EC7EABC" w14:textId="77777777" w:rsidR="0085110D" w:rsidRDefault="0085110D"/>
    <w:p w14:paraId="5685364A" w14:textId="77777777" w:rsidR="0085110D" w:rsidRDefault="0085110D"/>
    <w:p w14:paraId="4F80A8CC" w14:textId="77777777" w:rsidR="0085110D" w:rsidRDefault="0085110D"/>
    <w:p w14:paraId="15D873E0" w14:textId="77777777" w:rsidR="0085110D" w:rsidRDefault="0085110D"/>
    <w:p w14:paraId="2BE22314" w14:textId="77777777" w:rsidR="0085110D" w:rsidRDefault="0085110D"/>
    <w:p w14:paraId="1D6893C7" w14:textId="77777777" w:rsidR="0085110D" w:rsidRDefault="0085110D"/>
    <w:p w14:paraId="4FFA0725" w14:textId="77777777" w:rsidR="0085110D" w:rsidRDefault="0085110D"/>
    <w:p w14:paraId="45F0E5B7" w14:textId="77777777" w:rsidR="0085110D" w:rsidRDefault="0085110D"/>
    <w:p w14:paraId="45A97E10" w14:textId="77777777" w:rsidR="0085110D" w:rsidRDefault="0085110D"/>
    <w:p w14:paraId="12560AD3" w14:textId="77777777" w:rsidR="0085110D" w:rsidRDefault="0085110D"/>
    <w:p w14:paraId="09EA006C" w14:textId="77777777" w:rsidR="0085110D" w:rsidRDefault="0085110D"/>
    <w:p w14:paraId="711ED273" w14:textId="77777777" w:rsidR="0085110D" w:rsidRDefault="0085110D"/>
    <w:p w14:paraId="467C6DDA" w14:textId="77777777" w:rsidR="0085110D" w:rsidRDefault="0085110D"/>
    <w:p w14:paraId="2E8F2993" w14:textId="77777777" w:rsidR="0085110D" w:rsidRDefault="0085110D"/>
    <w:p w14:paraId="453ABD06" w14:textId="77777777" w:rsidR="0085110D" w:rsidRDefault="0085110D">
      <w:pPr>
        <w:rPr>
          <w:b/>
        </w:rPr>
      </w:pPr>
      <w:r>
        <w:rPr>
          <w:b/>
        </w:rPr>
        <w:br w:type="page"/>
      </w:r>
    </w:p>
    <w:p w14:paraId="79727A19" w14:textId="77777777" w:rsidR="0085110D" w:rsidRPr="000B6AA8" w:rsidRDefault="0085110D">
      <w:pPr>
        <w:rPr>
          <w:rFonts w:ascii="Times New Roman" w:hAnsi="Times New Roman" w:cs="Times New Roman"/>
        </w:rPr>
      </w:pPr>
      <w:r w:rsidRPr="000B6AA8">
        <w:rPr>
          <w:rFonts w:ascii="Times New Roman" w:hAnsi="Times New Roman" w:cs="Times New Roman"/>
          <w:b/>
        </w:rPr>
        <w:lastRenderedPageBreak/>
        <w:t>INTRODUCTION</w:t>
      </w:r>
      <w:r w:rsidRPr="000B6AA8">
        <w:rPr>
          <w:rFonts w:ascii="Times New Roman" w:hAnsi="Times New Roman" w:cs="Times New Roman"/>
        </w:rPr>
        <w:t xml:space="preserve">: </w:t>
      </w:r>
    </w:p>
    <w:p w14:paraId="37C31901" w14:textId="77777777" w:rsidR="00CD602F" w:rsidRPr="000B6AA8" w:rsidRDefault="00CD602F">
      <w:pPr>
        <w:rPr>
          <w:rFonts w:ascii="Times New Roman" w:hAnsi="Times New Roman" w:cs="Times New Roman"/>
        </w:rPr>
      </w:pPr>
    </w:p>
    <w:p w14:paraId="52A30205" w14:textId="6A3B5B05" w:rsidR="00CA70B5" w:rsidRPr="000B6AA8" w:rsidRDefault="00807181" w:rsidP="00CA70B5">
      <w:pPr>
        <w:ind w:firstLine="720"/>
        <w:rPr>
          <w:rFonts w:ascii="Times New Roman" w:hAnsi="Times New Roman" w:cs="Times New Roman"/>
        </w:rPr>
      </w:pPr>
      <w:r w:rsidRPr="000B6AA8">
        <w:rPr>
          <w:rFonts w:ascii="Times New Roman" w:hAnsi="Times New Roman" w:cs="Times New Roman"/>
        </w:rPr>
        <w:t>Despite ongoing efforts, considerable variation</w:t>
      </w:r>
      <w:r w:rsidR="0050396C">
        <w:rPr>
          <w:rFonts w:ascii="Times New Roman" w:hAnsi="Times New Roman" w:cs="Times New Roman"/>
        </w:rPr>
        <w:t xml:space="preserve"> in infection prevention practices by surgical teams continues to exist</w:t>
      </w:r>
      <w:r w:rsidRPr="000B6AA8">
        <w:rPr>
          <w:rFonts w:ascii="Times New Roman" w:hAnsi="Times New Roman" w:cs="Times New Roman"/>
        </w:rPr>
        <w:fldChar w:fldCharType="begin" w:fldLock="1"/>
      </w:r>
      <w:r w:rsidRPr="000B6AA8">
        <w:rPr>
          <w:rFonts w:ascii="Times New Roman" w:hAnsi="Times New Roman" w:cs="Times New Roman"/>
        </w:rPr>
        <w:instrText>ADDIN CSL_CITATION { "citationItems" : [ { "id" : "ITEM-1", "itemData" : { "DOI" : "10.1097/BPO.0b013e31829241b8", "ISSN" : "0271-6798", "author" : [ { "dropping-particle" : "", "family" : "Glotzbecker", "given" : "Michael P.", "non-dropping-particle" : "", "parse-names" : false, "suffix" : "" }, { "dropping-particle" : "", "family" : "Vitale", "given" : "Michael G.", "non-dropping-particle" : "", "parse-names" : false, "suffix" : "" }, { "dropping-particle" : "", "family" : "Shea", "given" : "Kevin G.", "non-dropping-particle" : "", "parse-names" : false, "suffix" : "" }, { "dropping-particle" : "", "family" : "Flynn", "given" : "John M.", "non-dropping-particle" : "", "parse-names" : false, "suffix" : "" } ], "container-title" : "Journal of Pediatric Orthopaedics", "id" : "ITEM-1", "issue" : "7", "issued" : { "date-parts" : [ [ "2013" ] ] }, "page" : "694-699", "title" : "Surgeon Practices Regarding Infection Prevention for Pediatric Spinal Surgery", "type" : "article-journal", "volume" : "33" }, "uris" : [ "http://www.mendeley.com/documents/?uuid=84950b06-31b5-328a-bb3d-439b79f5cdaa" ] }, { "id" : "ITEM-2", "itemData" : { "DOI" : "10.1097/BRS.0b013e318289b690", "ISSN" : "1528-1159", "PMID" : "23370689", "abstract" : "STUDY DESIGN Retrospective cohort study using the Pediatric Health Information System database. OBJECTIVE To describe longitudinal patterns of prophylactic antibiotic use and determinants of antibiotic choice for spinal fusion surgical procedures performed at US children's hospitals. SUMMARY OF BACKGROUND DATA Surgical site infections (SSIs) account for a significant proportion of post-spinal surgery complications, particularly among children with complex conditions such as neuromuscular disease. Antimicrobial prophylaxis with intravenous cefazolin or cefuroxime has been a standard practice, but postoperative infections caused by organisms resistant to these antibiotics are increasing in prevalence. Studies describing the choice of antibiotic prophylaxis for pediatric spinal surgery are lacking. METHODS We included children 6 months to 18 years of age discharged from 37 US children's hospitals between January 1, 2006, and June 30, 2009, with (1) an International Classification of Diseases, Ninth Revision, Clinical Modification (ICD-9-CM) procedure code indicating a spinal fusion and (2) combinations of diagnosis codes indicating adolescent idiopathic scoliosis (AIS) (n = 5617) or neuromuscular scoliosis (NMS) (n = 3633). After identifying antibiotics ordered on the operative day, we described variation in broad-spectrum antibiotic use over time and measured associations between patient/surgery characteristics and antibiotic choice. RESULTS Prophylactic antibiotic choice varied across hospitals and over time. Broad-spectrum antibiotics were used in 37% of AIS and 52% of NMS operations. Seven (19%) hospitals used broad-spectrum coverage for more 80% of all cases. For NMS procedures, broad-spectrum antibiotic use was associated with patient characteristics known to be associated with high SSI risk. Use of vancomycin and broad gram-negative agents increased over time. CONCLUSION Broad-spectrum antimicrobial prophylaxis varied across hospitals and was often associated with known risk factors for SSI. These results highlight the need for future studies comparing the effectiveness of various prophylaxis strategies, particularly in high-risk subgroups. This research can inform the development of best practice for SSI prevention in spinal fusion procedures.", "author" : [ { "dropping-particle" : "", "family" : "McLeod", "given" : "Lisa M", "non-dropping-particle" : "", "parse-names" : false, "suffix" : "" }, { "dropping-particle" : "", "family" : "Keren", "given" : "Ron", "non-dropping-particle" : "", "parse-names" : false, "suffix" : "" }, { "dropping-particle" : "", "family" : "Gerber", "given" : "Jeffrey", "non-dropping-particle" : "", "parse-names" : false, "suffix" : "" }, { "dropping-particle" : "", "family" : "French", "given" : "Benjamin", "non-dropping-particle" : "", "parse-names" : false, "suffix" : "" }, { "dropping-particle" : "", "family" : "Song", "given" : "Lihai", "non-dropping-particle" : "", "parse-names" : false, "suffix" : "" }, { "dropping-particle" : "", "family" : "Sampson", "given" : "Norma R", "non-dropping-particle" : "", "parse-names" : false, "suffix" : "" }, { "dropping-particle" : "", "family" : "Flynn", "given" : "John", "non-dropping-particle" : "", "parse-names" : false, "suffix" : "" }, { "dropping-particle" : "", "family" : "Dormans", "given" : "John P", "non-dropping-particle" : "", "parse-names" : false, "suffix" : "" } ], "container-title" : "Spine", "id" : "ITEM-2", "issue" : "7", "issued" : { "date-parts" : [ [ "2013", "4", "1" ] ] }, "page" : "609-16", "title" : "Perioperative antibiotic use for spinal surgery procedures in US children's hospitals.", "type" : "article-journal", "volume" : "38" }, "uris" : [ "http://www.mendeley.com/documents/?uuid=97476498-550b-3502-b318-b5ae6ad04ef6" ] }, { "id" : "ITEM-3", "itemData" : { "DOI" : "10.1097/BSD.0b013e3182a22a54", "ISSN" : "1536-0652", "author" : [ { "dropping-particle" : "", "family" : "McLeod", "given" : "Lisa M.", "non-dropping-particle" : "", "parse-names" : false, "suffix" : "" }, { "dropping-particle" : "", "family" : "French", "given" : "Benjamin", "non-dropping-particle" : "", "parse-names" : false, "suffix" : "" }, { "dropping-particle" : "", "family" : "Flynn", "given" : "John M.", "non-dropping-particle" : "", "parse-names" : false, "suffix" : "" }, { "dropping-particle" : "", "family" : "Dormans", "given" : "John P.", "non-dropping-particle" : "", "parse-names" : false, "suffix" : "" }, { "dropping-particle" : "", "family" : "Keren", "given" : "Ron", "non-dropping-particle" : "", "parse-names" : false, "suffix" : "" } ], "container-title" : "Journal of Spinal Disorders and Techniques", "id" : "ITEM-3", "issue" : "8", "issued" : { "date-parts" : [ [ "2015", "10" ] ] }, "page" : "E460-E466", "title" : "Antifibrinolytic Use and Blood Transfusions in Pediatric Scoliosis Surgeries Performed at US Children\u2019s Hospitals", "type" : "article-journal", "volume" : "28" }, "uris" : [ "http://www.mendeley.com/documents/?uuid=240bd4e9-bcc3-3405-bec4-3b80e9c82944" ] } ], "mendeley" : { "formattedCitation" : "&lt;sup&gt;1\u20133&lt;/sup&gt;", "plainTextFormattedCitation" : "1\u20133", "previouslyFormattedCitation" : "&lt;sup&gt;1\u20133&lt;/sup&gt;" }, "properties" : { "noteIndex" : 0 }, "schema" : "https://github.com/citation-style-language/schema/raw/master/csl-citation.json" }</w:instrText>
      </w:r>
      <w:r w:rsidRPr="000B6AA8">
        <w:rPr>
          <w:rFonts w:ascii="Times New Roman" w:hAnsi="Times New Roman" w:cs="Times New Roman"/>
        </w:rPr>
        <w:fldChar w:fldCharType="separate"/>
      </w:r>
      <w:r w:rsidRPr="000B6AA8">
        <w:rPr>
          <w:rFonts w:ascii="Times New Roman" w:hAnsi="Times New Roman" w:cs="Times New Roman"/>
          <w:noProof/>
          <w:vertAlign w:val="superscript"/>
        </w:rPr>
        <w:t>1–3</w:t>
      </w:r>
      <w:r w:rsidRPr="000B6AA8">
        <w:rPr>
          <w:rFonts w:ascii="Times New Roman" w:hAnsi="Times New Roman" w:cs="Times New Roman"/>
        </w:rPr>
        <w:fldChar w:fldCharType="end"/>
      </w:r>
      <w:r w:rsidR="0050396C">
        <w:rPr>
          <w:rFonts w:ascii="Times New Roman" w:hAnsi="Times New Roman" w:cs="Times New Roman"/>
        </w:rPr>
        <w:t>. T</w:t>
      </w:r>
      <w:r w:rsidRPr="000B6AA8">
        <w:rPr>
          <w:rFonts w:ascii="Times New Roman" w:hAnsi="Times New Roman" w:cs="Times New Roman"/>
        </w:rPr>
        <w:t xml:space="preserve">he risk of surgical site infection (SSI) following </w:t>
      </w:r>
      <w:r w:rsidR="0050396C">
        <w:rPr>
          <w:rFonts w:ascii="Times New Roman" w:hAnsi="Times New Roman" w:cs="Times New Roman"/>
        </w:rPr>
        <w:t xml:space="preserve">pediatric </w:t>
      </w:r>
      <w:r w:rsidRPr="000B6AA8">
        <w:rPr>
          <w:rFonts w:ascii="Times New Roman" w:hAnsi="Times New Roman" w:cs="Times New Roman"/>
        </w:rPr>
        <w:t xml:space="preserve">scoliosis surgery </w:t>
      </w:r>
      <w:r w:rsidR="0050396C">
        <w:rPr>
          <w:rFonts w:ascii="Times New Roman" w:hAnsi="Times New Roman" w:cs="Times New Roman"/>
        </w:rPr>
        <w:t>since</w:t>
      </w:r>
      <w:r w:rsidRPr="000B6AA8">
        <w:rPr>
          <w:rFonts w:ascii="Times New Roman" w:hAnsi="Times New Roman" w:cs="Times New Roman"/>
        </w:rPr>
        <w:t xml:space="preserve"> 2000 has been reported to range </w:t>
      </w:r>
      <w:r w:rsidR="0050396C">
        <w:rPr>
          <w:rFonts w:ascii="Times New Roman" w:hAnsi="Times New Roman" w:cs="Times New Roman"/>
        </w:rPr>
        <w:t>from 0% to 26.3%</w:t>
      </w:r>
      <w:r w:rsidR="00C43DF8">
        <w:rPr>
          <w:rFonts w:ascii="Times New Roman" w:hAnsi="Times New Roman" w:cs="Times New Roman"/>
        </w:rPr>
        <w:t xml:space="preserve"> in the United States</w:t>
      </w:r>
      <w:r w:rsidR="0050396C">
        <w:rPr>
          <w:rFonts w:ascii="Times New Roman" w:hAnsi="Times New Roman" w:cs="Times New Roman"/>
        </w:rPr>
        <w:t>, much of which affects children with early onset scoliosis (EOS)</w:t>
      </w:r>
      <w:r w:rsidRPr="000B6AA8">
        <w:rPr>
          <w:rFonts w:ascii="Times New Roman" w:hAnsi="Times New Roman" w:cs="Times New Roman"/>
        </w:rPr>
        <w:fldChar w:fldCharType="begin" w:fldLock="1"/>
      </w:r>
      <w:r w:rsidRPr="000B6AA8">
        <w:rPr>
          <w:rFonts w:ascii="Times New Roman" w:hAnsi="Times New Roman" w:cs="Times New Roman"/>
        </w:rPr>
        <w:instrText>ADDIN CSL_CITATION { "citationItems" : [ { "id" : "ITEM-1", "itemData" : { "DOI" : "10.2106/JBJS.L.00010", "ISSN" : "1535-1386", "PMID" : "23636186", "abstract" : "Surgical site infection following correction of pediatric scoliosis is well described. However, we are aware of no recent multicenter study describing the rates of surgical site infection, and associated pathogens, among patients with different etiologies for scoliosis.", "author" : [ { "dropping-particle" : "", "family" : "Mackenzie", "given" : "W G Stuart", "non-dropping-particle" : "", "parse-names" : false, "suffix" : "" }, { "dropping-particle" : "", "family" : "Matsumoto", "given" : "Hiroko", "non-dropping-particle" : "", "parse-names" : false, "suffix" : "" }, { "dropping-particle" : "", "family" : "Williams", "given" : "Brendan A", "non-dropping-particle" : "", "parse-names" : false, "suffix" : "" }, { "dropping-particle" : "", "family" : "Corona", "given" : "Jacqueline", "non-dropping-particle" : "", "parse-names" : false, "suffix" : "" }, { "dropping-particle" : "", "family" : "Lee", "given" : "Christopher", "non-dropping-particle" : "", "parse-names" : false, "suffix" : "" }, { "dropping-particle" : "", "family" : "Cody", "given" : "Stephanie R", "non-dropping-particle" : "", "parse-names" : false, "suffix" : "" }, { "dropping-particle" : "", "family" : "Covington", "given" : "Lisa", "non-dropping-particle" : "", "parse-names" : false, "suffix" : "" }, { "dropping-particle" : "", "family" : "Saiman", "given" : "Lisa", "non-dropping-particle" : "", "parse-names" : false, "suffix" : "" }, { "dropping-particle" : "", "family" : "Flynn", "given" : "John M", "non-dropping-particle" : "", "parse-names" : false, "suffix" : "" }, { "dropping-particle" : "", "family" : "Skaggs", "given" : "David L", "non-dropping-particle" : "", "parse-names" : false, "suffix" : "" }, { "dropping-particle" : "", "family" : "Roye", "given" : "David P", "non-dropping-particle" : "", "parse-names" : false, "suffix" : "" }, { "dropping-particle" : "", "family" : "Vitale", "given" : "Michael G", "non-dropping-particle" : "", "parse-names" : false, "suffix" : "" } ], "container-title" : "The Journal of bone and joint surgery. American volume", "id" : "ITEM-1", "issue" : "9", "issued" : { "date-parts" : [ [ "2013", "5", "1" ] ] }, "page" : "800-6, S1-2", "title" : "Surgical site infection following spinal instrumentation for scoliosis: a multicenter analysis of rates, risk factors, and pathogens.", "type" : "article-journal", "volume" : "95" }, "uris" : [ "http://www.mendeley.com/documents/?uuid=66213ee4-e9ec-423a-b3c3-5c2eaaf54ac2" ] }, { "id" : "ITEM-2", "itemData" : { "DOI" : "10.1097/BRS.0000000000000693", "ISBN" : "0000000000000", "ISSN" : "1528-1159", "PMID" : "25569528", "abstract" : "STUDY DESIGN: Matched case-control study.\\n\\nOBJECTIVE: To identify modifiable risk factors for surgical site infections (SSIs) after pediatric spinal fusion.\\n\\nSUMMARY OF BACKGROUND DATA: The number of SSIs after pediatric spinal fusions increased.\\n\\nMETHODS: Between July 2001 and July 2010, 22 of 598 pediatric patients who underwent spinal fusion at a university hospital acquired SSIs. Each patient with an SSI was matched with 2 controls by procedure date. Bivariable and multivariable analyses were used to identify risk factors for SSIs and outcomes of SSIs.\\n\\nRESULTS: Gram-negative organisms caused more than 50% of the SSIs. By multivariable analysis, neuromuscular scoliosis (odds ratio [OR] = 20.8; 95% confidence interval [CI], 3.1-889.5; P &lt; 0.0001) and weight-for-age at the 95th percentile or higher (OR = 8.6; 95% CI, 1.2-124.9; P = 0.02) were preoperative factors associated with SSIs. Blood loss (OR = 1.0; 95% CI, 1.0-1.0; P = 0.039) and allografts and allografts in combination with other grafts were operative risk factors for SSIs. The final overall risk model for SSIs was weight-for-age at the 95th percentile or higher (OR = 4.0; 95% CI, 1.4-\u221e; P = 0.037), American Society of Anesthesiologists score 3 or more (OR = 3.8; 95% CI, 1.6-\u221e; P = 0.01), and prolonged operation duration (OR = 1.0/min increase; 95% CI, 1.0-1.0; P = 0.004). SSIs were associated with 2.8 days of additional postoperative length of stay (P = 0.02). Neuromuscular scoliosis was the only factor significantly associated with hospital readmission (OR = 23.6; 95% CI, 3.8-147.3; P = 0.0007).\\n\\nCONCLUSION: Our results suggest that pediatric patients undergoing spinal fusion might benefit from antimicrobial prophylaxis that covers gram-negative organisms. Surgical duration, graft implantation, and blood loss are potentially modifiable operative risk factors. Neuromuscular scoliosis, high weight-for-age, and American Society of Anesthesiologists scores 3 or more may help surgical teams identify patients at high risk for SSI.\\n\\nLEVEL OF EVIDENCE: 4.", "author" : [ { "dropping-particle" : "", "family" : "Croft", "given" : "Lindsay D", "non-dropping-particle" : "", "parse-names" : false, "suffix" : "" }, { "dropping-particle" : "", "family" : "Pottinger", "given" : "Jean M", "non-dropping-particle" : "", "parse-names" : false, "suffix" : "" }, { "dropping-particle" : "", "family" : "Chiang", "given" : "Hsiu-Yin", "non-dropping-particle" : "", "parse-names" : false, "suffix" : "" }, { "dropping-particle" : "", "family" : "Ziebold", "given" : "Christine S", "non-dropping-particle" : "", "parse-names" : false, "suffix" : "" }, { "dropping-particle" : "", "family" : "Weinstein", "given" : "Stuart L", "non-dropping-particle" : "", "parse-names" : false, "suffix" : "" }, { "dropping-particle" : "", "family" : "Herwaldt", "given" : "Loreen a", "non-dropping-particle" : "", "parse-names" : false, "suffix" : "" } ], "container-title" : "Spine", "id" : "ITEM-2", "issue" : "2", "issued" : { "date-parts" : [ [ "2015" ] ] }, "page" : "E112-9", "title" : "Risk factors for surgical site infections after pediatric spine operations.", "type" : "article-journal", "volume" : "40" }, "uris" : [ "http://www.mendeley.com/documents/?uuid=3889c6d6-ab43-4791-a350-f6cb896981f5" ] }, { "id" : "ITEM-3", "itemData" : { "DOI" : "10.1097/BPO.0000000000000495", "ISBN" : "1539-2570 (Electronic)\\r0271-6798 (Linking)", "ISSN" : "1539-2570", "PMID" : "25929778", "abstract" : "BACKGROUND: Readmission for surgical-site infection (SSIs) following spinal fusion for NMS impacts costs, patient risk, and family burden; however, it may be preventable. The purpose of this study was to examine variation in hospital performance based on risk-standardized 60-day readmission rates for SSI and reoperation across 39 US Children's Hospitals.\\n\\nMETHODS: Retrospective cohort study using the Pediatric Health Information Systems (PHIS) database involving children aged 10 to 18 years with ICD9 codes indicating spinal fusion, scoliosis, and neuromuscular disease discharged from 39 US children's hospitals between January 1, 2007 and September 1, 2012. Readmissions within 60 days for SSI were identified based on the presence of ICD9 codes for (1) infectious complication of device or procedure, or (2) sepsis or specific bacterial infection with an accompanying reoperation. Logistic regression models accounting for patient-level risk factors for SSI were used to estimate expected (patient-level risk across all hospitals) and predicted (weighted average of hospital-specific and all-hospital estimates) outcomes. Relative performance was determined using the hospital-specific predicted versus expected (pe) ratios.\\n\\nRESULTS: Average volume across hospitals ranged from 2 to 23 fusions/quarter and was not associated with readmissions. Of the 7560 children in the cohort, 534 (7%) were readmitted for reoperation and 451 (6%) were readmitted for SSI within 60 days of discharge. Reoperations were associated with an SSI in 70% of cases. Across hospitals, SSI and reoperation rates ranged from 1% to 11% and 1% to 12%, respectively. After adjusting for age, sex, insurance, presence of a gastric tube, ventriculoperitoneal shunt, tracheostomy, prior admissions, number of chronic conditions, procedure type (anterior/posterior), and level (&gt;9 or &lt;9 vertebrae), pe ratios indicating hospital performance varied by 2-fold for each outcome.\\n\\nCONCLUSIONS: After standardizing outcomes using patient-level factors and relative case mix, several hospitals in this cohort were more successful at preventing readmissions for SSIs and reoperations. Closer examination of the organization and implementation of strategies for SSI prevention at high-performing centers may offer valuable clues for improving care at lower performing institutions.\\n\\nLEVEL OF EVIDENCE: Level III.", "author" : [ { "dropping-particle" : "", "family" : "McLeod", "given" : "Lisa", "non-dropping-particle" : "", "parse-names" : false, "suffix" : "" }, { "dropping-particle" : "", "family" : "Flynn", "given" : "John", "non-dropping-particle" : "", "parse-names" : false, "suffix" : "" }, { "dropping-particle" : "", "family" : "Erickson", "given" : "Mark", "non-dropping-particle" : "", "parse-names" : false, "suffix" : "" }, { "dropping-particle" : "", "family" : "Miller", "given" : "Nancy", "non-dropping-particle" : "", "parse-names" : false, "suffix" : "" }, { "dropping-particle" : "", "family" : "Keren", "given" : "Ron", "non-dropping-particle" : "", "parse-names" : false, "suffix" : "" }, { "dropping-particle" : "", "family" : "Dormans", "given" : "John", "non-dropping-particle" : "", "parse-names" : false, "suffix" : "" } ], "container-title" : "Journal of pediatric orthopedics", "id" : "ITEM-3", "issue" : "00", "issued" : { "date-parts" : [ [ "2015" ] ] }, "page" : "1-6", "title" : "Variation in 60-day Readmission for Surgical-site Infections (SSIs) and Reoperation Following Spinal Fusion Operations for Neuromuscular Scoliosis.", "type" : "article-journal", "volume" : "00" }, "uris" : [ "http://www.mendeley.com/documents/?uuid=10c930b0-4c1f-4edd-af4f-a3dd334e2ca0" ] }, { "id" : "ITEM-4", "itemData" : { "DOI" : "10.1097/BPO.0000000000000727", "ISSN" : "1539-2570", "PMID" : "26866642", "abstract" : "BACKGROUND Surgical site infections (SSIs) following spine surgery in children and adolescents with nonidiopathic scoliosis are associated with increased morbidity and health care costs. Potentially modifiable risk factors for SSIs merit additional study in this population. METHODS A single-center, retrospective cohort study was performed from August 2008 through December 2013 in children and adolescents undergoing surgery for nonidiopathic scoliosis to determine the trends in SSI rate and causative microorganisms. A standardized perioperative antimicrobial prophylaxis regimen was developed from September-October 2008. Potential risk factors for SSIs were assessed by multivariable analysis using Poisson regression models. Fusion procedures and growing construct procedures were analyzed separately. RESULTS In all, 268 patients underwent 536 surgical procedures of whom 192 underwent 228 fusion procedures, 89 underwent 308 growing construct procedures, and 13 underwent both procedures during the study period. Twenty-one SSIs (3.9% of surgical procedures and 7.8% of patients) occurred within 90 days of surgery, 17 SSIs occurred after fusion procedures (4.5% of procedures and 8.9% of patients), and 4 SSIs occurred after growing construct procedures (1.3% of procedures and 4.5% of patients). There were 9 polymicrobial SSIs (42.9%). Of the 31 bacterial pathogens isolated, 48% were Gram-negative organisms. Among patients undergoing fusion procedures, SSIs were associated with underdosing of preoperative cefazolin [relative risk (RR)=4.99; 95% confidence interval (CI), 1.89-17.43; P=0.012] and tobramycin (RR=5.86; 95% CI, 1.90-18.06; P=0.002), underdosing of intraoperative (RR=5.65; 95% CI, 2.13-14.97; P=0.001) and postoperative (RR=3.86; 95% CI, 1.20-12.40; P=0.023) tobramycin, and any preoperative or intraoperative underdosing (RR=4.89; 95% CI, 1.70-14.12; P=0.003), after adjustment for duration of surgery. No factors were associated with SSIs in those undergoing growing construct procedures. During the study period, the SSIs rate declined (P&lt;0.0001). CONCLUSIONS Underdosing of tobramycin and preoperative cefazolin were associated with an increased SSI risk among patients undergoing fusion procedures. Future multicenter studies should further investigate the generalizability of these findings. LEVEL OF EVIDENCE Level II-retrospective study.", "author" : [ { "dropping-particle" : "", "family" : "Salsgiver", "given" : "Elizabeth", "non-dropping-particle" : "", "parse-names" : false, "suffix" : "" }, { "dropping-particle" : "", "family" : "Crotty", "given" : "Jennifer", "non-dropping-particle" : "", "parse-names" : false, "suffix" : "" }, { "dropping-particle" : "", "family" : "LaRussa", "given" : "Samuel J", "non-dropping-particle" : "", "parse-names" : false, "suffix" : "" }, { "dropping-particle" : "", "family" : "Bainton", "given" : "Nicole M", "non-dropping-particle" : "", "parse-names" : false, "suffix" : "" }, { "dropping-particle" : "", "family" : "Matsumoto", "given" : "Hiroko", "non-dropping-particle" : "", "parse-names" : false, "suffix" : "" }, { "dropping-particle" : "", "family" : "Demmer", "given" : "Ryan T", "non-dropping-particle" : "", "parse-names" : false, "suffix" : "" }, { "dropping-particle" : "", "family" : "Thumm", "given" : "Brian", "non-dropping-particle" : "", "parse-names" : false, "suffix" : "" }, { "dropping-particle" : "", "family" : "Vitale", "given" : "Michael G", "non-dropping-particle" : "", "parse-names" : false, "suffix" : "" }, { "dropping-particle" : "", "family" : "Saiman", "given" : "Lisa", "non-dropping-particle" : "", "parse-names" : false, "suffix" : "" } ], "container-title" : "Journal of pediatric orthopedics", "id" : "ITEM-4", "issued" : { "date-parts" : [ [ "2016", "2", "10" ] ] }, "page" : "1", "title" : "Surgical Site Infections following Spine Surgery for Non-idiopathic Scoliosis.", "type" : "article-journal" }, "uris" : [ "http://www.mendeley.com/documents/?uuid=d7834276-ed28-3096-88a0-2f743b268ee2" ] }, { "id" : "ITEM-5", "itemData" : { "ISBN" : "1528-1159 (Electronic) 0362-2436 (Linking)", "abstract" : "STUDY DESIGN: A retrospective matched cohort study with control group. OBJECTIVE: To compare the infection rate after posterior spinal fusion with unit rod instrumentation with or without gentamicin-impregnated allograft bone in children with cerebral palsy (CP). SUMMARY OF BACKGROUND DATA: Previous studies evaluating wound infection rates after spinal fusion surgery in children with CP report an 8.7% to 10% wound infection rate. The concept of using antibiotic-loaded bone graft (AbBGF) to provide local antibiotics has been explored in high risk patients, such as those with osteomyelitis or infected joint arthroplasty. There have been no reports of using AbBGF prophylactically in spine surgery. METHODS: After IRB approval, the medical records of 220 children with CP who underwent spinal fusion with unit rod instrumentation for a primary spinal deformity between January 2000 through December 2006 at a single institution were retrospectively reviewed. We evaluated the incidence of postoperative wound infection in patients with AbBGF and those without bone graft (BGF). RESULTS: One hundred fifty-four patients received AbBGF during spinal fusion surgery and 6 patients (3.9%) developed a deep wound infection. Ten (15.2%) of the 66 patients without AbBGF developed a deep wound infection. The difference between groups was statistically different (P = 0.003). The mean age at surgery, preoperative Cobb angle, correction rate, operative time, and estimated blood loss were not statistically different between the 2 groups (P &gt; 0.05). The length of hospital stay was decreased in the AbBGF group (P &lt; 0.05). CONCLUSION: The incidence of deep wound infection after spinal fusion in 220 children with CP scoliosis decreased from 15% to 4% with the use of prophylactic antibiotics in the corticocancellous allograft bone.", "author" : [ { "dropping-particle" : "", "family" : "Borkhuu", "given" : "B", "non-dropping-particle" : "", "parse-names" : false, "suffix" : "" }, { "dropping-particle" : "", "family" : "Borowski", "given" : "A", "non-dropping-particle" : "", "parse-names" : false, "suffix" : "" }, { "dropping-particle" : "", "family" : "Shah", "given" : "S A", "non-dropping-particle" : "", "parse-names" : false, "suffix" : "" }, { "dropping-particle" : "", "family" : "Littleton", "given" : "A G", "non-dropping-particle" : "", "parse-names" : false, "suffix" : "" }, { "dropping-particle" : "", "family" : "Dabney", "given" : "K W", "non-dropping-particle" : "", "parse-names" : false, "suffix" : "" }, { "dropping-particle" : "", "family" : "Miller", "given" : "F", "non-dropping-particle" : "", "parse-names" : false, "suffix" : "" } ], "container-title" : "Spine (Phila Pa 1976)", "id" : "ITEM-5", "issue" : "21", "issued" : { "date-parts" : [ [ "2008" ] ] }, "note" : "Oct 1", "page" : "2300-4 OD - 2008/10/02", "publisher-place" : "Department of Orthopedics, Alfred I duPont Hospital for Children, Nemours Children's Clinic, Wilmington, DE 19803, USA.", "title" : "Antibiotic-loaded allograft decreases the rate of acute deep wound infection after spinal fusion in cerebral palsy", "type" : "article-journal", "volume" : "33" }, "uris" : [ "http://www.mendeley.com/documents/?uuid=e8d125ff-06c3-4bd7-9619-969298bc43a8" ] }, { "id" : "ITEM-6", "itemData" : { "DOI" : "10.1097/01.brs.0000197188.76369.13", "ISSN" : "1528-1159", "PMID" : "16449909", "abstract" : "STUDY DESIGN The Morbidity and Mortality database of the Scoliosis Research Society (SRS) was queried as to the incidence and type of complications as reported by its members for the treatment of adolescent idiopathic scoliosis (AIS) with spinal fusion and instrumentation procedures regarding surgical approach (anterior, posterior, or combined anterior-posterior) during a recent 3-year period. OBJECTIVE To evaluate the incidence of surgeon-reported complications in a large series of spinal fusions with instrumentation for a single spinal deformity diagnosis and age group regarding surgical approach. SUMMARY OF BACKGROUND DATA The SRS has been collecting morbidity and mortality data from its members since its formation in 1965 with the intent of using these data to assess the complications and adverse outcomes (death and/or spinal cord injury) of surgical treatment for spinal deformity. Surgical approaches to the management of treatment of AIS have a measurable impact on efficacy of correction, levels fused, and operative morbidity. However, there is a lack of consensus on the choice of surgical approach for the treatment of spinal deformity. METHODS Of the 58,197 surgical cases submitted by members of the SRS in the years 2001, 2002, and 2003, 10.9% were identified as having had anterior, posterior, or combined spinal fusion with instrumentation for the diagnosis of AIS, and comprised the study cohort. All reported complications were tabulated and totaled for each of the 3 types of procedures, and statistical analysis was conducted. RESULTS Complications were reported in 5.7% of the 6334 patients in this series. Of the 1164 patients who underwent anterior fusion and instrumentation, 5.2% had complications, of the 4369 who underwent posterior instrumentation and fusion, 5.1% had complications, and of the 801 who underwent combined instrumentation and fusion, 10.2% had complications. There were 2 patients (0.03%) who died of their complications. There was no statistical difference in overall complication rates between anterior and posterior procedures. However, the difference in complication rates between anterior or posterior procedures compared to combined procedures was highly significant (P &lt; 0.0001). The differences in neurologic complication rates between combined and anterior procedures, as well as combined and posterior procedures were also highly statistically significant (P &lt; 0.0001), but not between anterior and posterior procedures. CONCLUSION\u2026", "author" : [ { "dropping-particle" : "", "family" : "Coe", "given" : "Jeffrey D", "non-dropping-particle" : "", "parse-names" : false, "suffix" : "" }, { "dropping-particle" : "", "family" : "Arlet", "given" : "Vincent", "non-dropping-particle" : "", "parse-names" : false, "suffix" : "" }, { "dropping-particle" : "", "family" : "Donaldson", "given" : "William", "non-dropping-particle" : "", "parse-names" : false, "suffix" : "" }, { "dropping-particle" : "", "family" : "Berven", "given" : "Sigurd", "non-dropping-particle" : "", "parse-names" : false, "suffix" : "" }, { "dropping-particle" : "", "family" : "Hanson", "given" : "Darrell S", "non-dropping-particle" : "", "parse-names" : false, "suffix" : "" }, { "dropping-particle" : "", "family" : "Mudiyam", "given" : "Ram", "non-dropping-particle" : "", "parse-names" : false, "suffix" : "" }, { "dropping-particle" : "", "family" : "Perra", "given" : "Joseph H", "non-dropping-particle" : "", "parse-names" : false, "suffix" : "" }, { "dropping-particle" : "", "family" : "Shaffrey", "given" : "Christopher I", "non-dropping-particle" : "", "parse-names" : false, "suffix" : "" } ], "container-title" : "Spine", "id" : "ITEM-6", "issue" : "3", "issued" : { "date-parts" : [ [ "2006", "2", "1" ] ] }, "page" : "345-9", "title" : "Complications in spinal fusion for adolescent idiopathic scoliosis in the new millennium. A report of the Scoliosis Research Society Morbidity and Mortality Committee.", "type" : "article-journal", "volume" : "31" }, "uris" : [ "http://www.mendeley.com/documents/?uuid=d994bdb3-e1f5-377e-90dd-8f71084a1e5a" ] }, { "id" : "ITEM-7", "itemData" : { "DOI" : "10.1097/BRS.0b013e31823bbf0b", "ISSN" : "1528-1159", "PMID" : "22037527", "abstract" : "STUDY DESIGN A multicenter retrospective analysis. OBJECTIVE To evaluate outcomes of closed-suction wound drainage after posterior spinal fusion with instrumentation for adolescent idiopathic scoliosis and to identify surgeon patterns of drain use in this cohort. SUMMARY OF BACKGROUND DATA There is little evidence on the use of drains in spinal surgery, particularly for repair of adolescent idiopathic scoliosis. Studies on hip and knee arthroplasty suggest no advantage to draining. There are few published reports on surgeon technique and rationale for drain use in spinal surgery. METHODS Patients were divided into drain and no drain cohorts and followed for 2 years. Primary outcome was complication rate. A separate survey was conducted from surgeons in the Spinal Deformity Study Group to evaluate drain practice patterns. RESULTS There were 324 drained and 176 undrained patients. Complication rate did not differ between the drain and no drain cohorts in any of the 4 categories (wound infection, neural injury, other infection, and other complication) at any time (all P &gt; 0.1). More drained patients received postoperative transfusions compared with those without a drain (43% vs. 22%, P &lt; 0.001). Of the 50 surgeons in the group, 36 used drains. Half of these did so out of habit. Surgeons tended to place deep drains with bulb suction, without drain manipulation. Half removed drains on the basis of output, whereas half removed them after 1 to 3 days. CONCLUSION More patients tended to receive wound drains than not receive wound drains. Drains did not impact complication rate and drained patients received more blood product. There are no universal criteria for draining and practice patterns vary widely.", "author" : [ { "dropping-particle" : "", "family" : "Diab", "given" : "Mohammad", "non-dropping-particle" : "", "parse-names" : false, "suffix" : "" }, { "dropping-particle" : "", "family" : "Smucny", "given" : "Mia", "non-dropping-particle" : "", "parse-names" : false, "suffix" : "" }, { "dropping-particle" : "", "family" : "Dormans", "given" : "John P", "non-dropping-particle" : "", "parse-names" : false, "suffix" : "" }, { "dropping-particle" : "", "family" : "Erickson", "given" : "Mark A", "non-dropping-particle" : "", "parse-names" : false, "suffix" : "" }, { "dropping-particle" : "", "family" : "Ibrahim", "given" : "Kamal", "non-dropping-particle" : "", "parse-names" : false, "suffix" : "" }, { "dropping-particle" : "", "family" : "Lenke", "given" : "Lawrence G", "non-dropping-particle" : "", "parse-names" : false, "suffix" : "" }, { "dropping-particle" : "", "family" : "Sucato", "given" : "Daniel J", "non-dropping-particle" : "", "parse-names" : false, "suffix" : "" }, { "dropping-particle" : "", "family" : "Sanders", "given" : "James O", "non-dropping-particle" : "", "parse-names" : false, "suffix" : "" } ], "container-title" : "Spine", "id" : "ITEM-7", "issue" : "11", "issued" : { "date-parts" : [ [ "2012", "5", "15" ] ] }, "page" : "966-73", "title" : "Use and outcomes of wound drain in spinal fusion for adolescent idiopathic scoliosis.", "type" : "article-journal", "volume" : "37" }, "uris" : [ "http://www.mendeley.com/documents/?uuid=4b29683a-2578-3a71-b964-b30d6e07340a" ] }, { "id" : "ITEM-8", "itemData" : { "DOI" : "10.1097/BRS.0000000000000233", "ISBN" : "0000000000000", "ISSN" : "0362-2436", "author" : [ { "dropping-particle" : "", "family" : "Heffernan", "given" : "Michael J.", "non-dropping-particle" : "", "parse-names" : false, "suffix" : "" }, { "dropping-particle" : "", "family" : "Seehausen", "given" : "Derek a.", "non-dropping-particle" : "", "parse-names" : false, "suffix" : "" }, { "dropping-particle" : "", "family" : "Andras", "given" : "Lindsay M.", "non-dropping-particle" : "", "parse-names" : false, "suffix" : "" }, { "dropping-particle" : "", "family" : "Skaggs", "given" : "David L.", "non-dropping-particle" : "", "parse-names" : false, "suffix" : "" } ], "container-title" : "Spine", "id" : "ITEM-8", "issue" : "8", "issued" : { "date-parts" : [ [ "2014" ] ] }, "page" : "648-655", "title" : "Comparison of Outcomes After Posterior Spinal Fusion for Adolescent Idiopathic and Neuromuscular Scoliosis", "type" : "article-journal", "volume" : "39" }, "uris" : [ "http://www.mendeley.com/documents/?uuid=8481138b-adac-4655-90f6-0dff5c207bf5" ] }, { "id" : "ITEM-9", "itemData" : { "DOI" : "10.1097/BRS.0000000000001002", "ISSN" : "0362-2436", "PMID" : "26010036", "abstract" : "STUDY DESIGN Retrospective cohort analysis. OBJECTIVE To compare clinical outcomes after spine instrumentation and fusion using 3 different bone grafts in children with adolescent idiopathic scoliosis (AIS). SUMMARY OF BACKGROUND DATA Autogenous iliac crest bone graft (AIC) is the \"gold standard\" to promote fusion in posterior AIS operations, although the morbidity of harvest is a concern. There is limited data comparing outcomes after AIS surgery based on types of bone grafts. METHODS Children (10-18 yr) with AIS who underwent deformity correction via a posterior approach were identified in the Spinal Deformity Study Group database. All had a minimum of 2-year follow-up. Patients were subdivided into 3 groups based on bone graft used: AIC, allograft, and bone substitute (BS). Clinical data included patient demographics, operative details, postoperative analgesic use, and perioperative complications. Lenke curve type and curve magnitude changes were radiographically analyzed. The Scoliosis Research Society-30 questionnaire was used to assess clinical outcomes. RESULTS 461 patients met inclusion criteria (girls: 381, boys: 80; average age 14.7 \u00b1 1.7) and consisted of 152 AIC patients (124 girls, 28 boys), 199 allograft patients (167 girls, 32 boys), and 110 BS patients (90 girls, 20 boys). There was no difference in age (P = 0.41) or gender (P = 0.82). The BS group had significantly smaller preoperative curves and shorter operative times. Postoperatively, patients who received BS had significantly longer hospital stays, used higher quantities of patient-controlled intravenous analgesia and used epidurals longer. The AIC group used patient-controlled intravenous analgesia significantly longer. There were no differences between the groups in regards to curve type, number of levels fused, postoperative infections, pseudarthrosis, reoperations for any indication, and Scoliosis Research Society-30 scores at the latest follow-up. CONCLUSION Outcomes after primary posterior spinal fusion with instrumentation are not influenced by type of bone graft or substitute. LEVEL OF EVIDENCE 3.", "author" : [ { "dropping-particle" : "", "family" : "Theologis", "given" : "Alexander A.", "non-dropping-particle" : "", "parse-names" : false, "suffix" : "" }, { "dropping-particle" : "", "family" : "Tabaraee", "given" : "Ehsan", "non-dropping-particle" : "", "parse-names" : false, "suffix" : "" }, { "dropping-particle" : "", "family" : "Lin", "given" : "Tracy", "non-dropping-particle" : "", "parse-names" : false, "suffix" : "" }, { "dropping-particle" : "", "family" : "Lubicky", "given" : "John", "non-dropping-particle" : "", "parse-names" : false, "suffix" : "" }, { "dropping-particle" : "", "family" : "Diab", "given" : "Mohammad", "non-dropping-particle" : "", "parse-names" : false, "suffix" : "" }, { "dropping-particle" : "", "family" : "Spinal Deformity Study Group", "given" : "", "non-dropping-particle" : "", "parse-names" : false, "suffix" : "" } ], "container-title" : "Spine", "id" : "ITEM-9", "issue" : "17", "issued" : { "date-parts" : [ [ "2015", "9", "1" ] ] }, "page" : "1345-1351", "title" : "Type of Bone Graft or Substitute Does Not Affect Outcome of Spine Fusion With Instrumentation for Adolescent Idiopathic Scoliosis", "type" : "article-journal", "volume" : "40" }, "uris" : [ "http://www.mendeley.com/documents/?uuid=4f6d19bd-817d-30a0-a27c-6c9d71d78d62" ] }, { "id" : "ITEM-10", "itemData" : { "DOI" : "10.1016/j.jspd.2015.07.009", "ISSN" : "2212-1358", "PMID" : "27852502", "abstract" : "STUDY DESIGN Retrospective review. OBJECTIVES To describe clinical characteristics and infection rates in modern vertical expandable prosthetic titanium rib (VEPTR) surgery. SUMMARY OF BACKGROUND DATA Prior studies have demonstrated infection rates from 10% to 30% with VEPTR surgery. METHODS A retrospective query was done on an institutional review board-approved, multicenter prospectively collected database for patients implanted with VEPTR from 2007 to 2013 at eight sites. This identified 213 patients with appropriate data for analysis. Average follow-up was 4.1 years (range 1.7-6.3). Data collected included a Classification of Early-Onset Scoliosis (C-EOS) diagnosis, American Society of Anesthesiologists Physical Status (ASA-PS), major Cobb angle, construct type, clinical symptoms, and microbiology. The distribution of infection rates across all the study sites was compared. The exact p value was estimated by Monte Carlo simulation. RESULTS Overall, 18% (38/213) of patients implanted with VEPTR developed infection requiring operative debridement. There were significantly different infection rates among the sites, ranging from 2.9% to 42.9% (p = .029). The average time to infection was 70 days (range 8-236) after the infecting procedure. The majority of infections were due to gram-positive bacteria (80%, 44/55), the most prevalent being methicillin-sensitive Staphylococcus aureus (45%, 25/55). There were 20 patients (53%, 20/38) with either partial or complete implant removal to resolve infection; however, only 3 of 38 (8%) of these resulted in abandonment of VEPTR treatment. There was no difference in infection rate across the primary C-EOS diagnosis categories (p = .21) or based on ASA score (p = .53). After controlling for study site, the odds ratio of an infection following an implant procedure versus an expansion was 2.8 (p = .002). There was no difference in the odds ratio of an infection between the other procedure types (implant, expansion, exchange/revision). CONCLUSIONS There were significant differences in infection rates between sites. The variability in infection rate indicates a need for guided efforts to standardize best practices for infection control in VEPTR surgery. LEVEL OF EVIDENCE III, therapeutic study.", "author" : [ { "dropping-particle" : "", "family" : "Garg", "given" : "Sumeet", "non-dropping-particle" : "", "parse-names" : false, "suffix" : "" }, { "dropping-particle" : "", "family" : "Cyr", "given" : "Micaela", "non-dropping-particle" : "", "parse-names" : false, "suffix" : "" }, { "dropping-particle" : "", "family" : "St Hilaire", "given" : "Tricia", "non-dropping-particle" : "", "parse-names" : false, "suffix" : "" }, { "dropping-particle" : "", "family" : "Flynn", "given" : "Tara", "non-dropping-particle" : "", "parse-names" : false, "suffix" : "" }, { "dropping-particle" : "", "family" : "Carry", "given" : "Patrick", "non-dropping-particle" : "", "parse-names" : false, "suffix" : "" }, { "dropping-particle" : "", "family" : "Glotzbecker", "given" : "Michael", "non-dropping-particle" : "", "parse-names" : false, "suffix" : "" }, { "dropping-particle" : "", "family" : "Smith", "given" : "John T", "non-dropping-particle" : "", "parse-names" : false, "suffix" : "" }, { "dropping-particle" : "", "family" : "Sawyer", "given" : "Jeffrey", "non-dropping-particle" : "", "parse-names" : false, "suffix" : "" }, { "dropping-particle" : "", "family" : "Pahys", "given" : "Joshua", "non-dropping-particle" : "", "parse-names" : false, "suffix" : "" }, { "dropping-particle" : "", "family" : "Luhmann", "given" : "Scott", "non-dropping-particle" : "", "parse-names" : false, "suffix" : "" }, { "dropping-particle" : "", "family" : "Flynn", "given" : "John M", "non-dropping-particle" : "", "parse-names" : false, "suffix" : "" }, { "dropping-particle" : "", "family" : "El-Hawary", "given" : "Ron", "non-dropping-particle" : "", "parse-names" : false, "suffix" : "" }, { "dropping-particle" : "", "family" : "Vitale", "given" : "Michael", "non-dropping-particle" : "", "parse-names" : false, "suffix" : "" } ], "container-title" : "Spine deformity", "id" : "ITEM-10", "issue" : "1", "issued" : { "date-parts" : [ [ "2016", "1" ] ] }, "page" : "59-64", "title" : "Variability of Surgical Site Infection With VEPTR at Eight Centers: A\u00a0Retrospective Cohort Analysis.", "type" : "article-journal", "volume" : "4" }, "uris" : [ "http://www.mendeley.com/documents/?uuid=37871f25-386a-31bd-902f-1ec504da9a9f" ] }, { "id" : "ITEM-11", "itemData" : { "DOI" : "10.1097/BRS.0b013e3181f3a326", "ISSN" : "1528-1159", "PMID" : "21037528", "abstract" : "Retrospective review of a multicenter database.", "author" : [ { "dropping-particle" : "", "family" : "Reames", "given" : "Davis L", "non-dropping-particle" : "", "parse-names" : false, "suffix" : "" }, { "dropping-particle" : "", "family" : "Smith", "given" : "Justin S", "non-dropping-particle" : "", "parse-names" : false, "suffix" : "" }, { "dropping-particle" : "", "family" : "Fu", "given" : "Kai-Ming G", "non-dropping-particle" : "", "parse-names" : false, "suffix" : "" }, { "dropping-particle" : "", "family" : "Polly", "given" : "David W", "non-dropping-particle" : "", "parse-names" : false, "suffix" : "" }, { "dropping-particle" : "", "family" : "Ames", "given" : "Christopher P", "non-dropping-particle" : "", "parse-names" : false, "suffix" : "" }, { "dropping-particle" : "", "family" : "Berven", "given" : "Sigurd H", "non-dropping-particle" : "", "parse-names" : false, "suffix" : "" }, { "dropping-particle" : "", "family" : "Perra", "given" : "Joseph H", "non-dropping-particle" : "", "parse-names" : false, "suffix" : "" }, { "dropping-particle" : "", "family" : "Glassman", "given" : "Steven D", "non-dropping-particle" : "", "parse-names" : false, "suffix" : "" }, { "dropping-particle" : "", "family" : "McCarthy", "given" : "Richard E", "non-dropping-particle" : "", "parse-names" : false, "suffix" : "" }, { "dropping-particle" : "", "family" : "Knapp", "given" : "Raymond D", "non-dropping-particle" : "", "parse-names" : false, "suffix" : "" }, { "dropping-particle" : "", "family" : "Heary", "given" : "Robert", "non-dropping-particle" : "", "parse-names" : false, "suffix" : "" }, { "dropping-particle" : "", "family" : "Shaffrey", "given" : "Christopher I", "non-dropping-particle" : "", "parse-names" : false, "suffix" : "" } ], "container-title" : "Spine", "id" : "ITEM-11", "issue" : "18", "issued" : { "date-parts" : [ [ "2011", "8", "15" ] ] }, "page" : "1484-91", "title" : "Complications in the surgical treatment of 19,360 cases of pediatric scoliosis: a review of the Scoliosis Research Society Morbidity and Mortality database.", "type" : "article-journal", "volume" : "36" }, "uris" : [ "http://www.mendeley.com/documents/?uuid=fcf090ea-d11f-45fe-86da-b82ae286f801" ] }, { "id" : "ITEM-12", "itemData" : { "DOI" : "10.1097/BRS.0b013e3181eadd41", "ISSN" : "1528-1159", "PMID" : "21192288", "abstract" : "STUDY DESIGN: Retrospective review of a prospectively collected database. OBJECTIVE: Our objective was to assess the rates of postoperative wound infection associated with spine surgery. SUMMARY OF BACKGROUND DATA: Although wound infection after spine surgery remains a common source of morbidity, estimates of its rates of occurrence remain relatively limited. The Scoliosis Research Society prospectively collects morbidity and mortality data from its members, including the occurrence of wound infection. METHODS: The Scoliosis Research Society morbidity and mortality database was queried for all reported spine surgery cases from 2004 to 2007. Cases were stratified based on factors including diagnosis, adult (\u2265 21 years) versus pediatric (&lt;21 years), primary versus revision, use of implants, and whether a minimally invasive approach was used. Superficial, deep, and total infection rates were calculated. RESULTS.: In total, 108,419 cases were identified, with an overall total infection rate of 2.1% (superficial = 0.8%, deep = 1.3%). Based on primary diagnosis, total postoperative wound infection rate for adults ranged from 1.4% for degenerative disease to 4.2% for kyphosis. Postoperative wound infection rates for pediatric patients ranged from 0.9% for degenerative disease to 5.4% for kyphosis. Rate of infection was further stratified based on subtype of degenerative disease, type of scoliosis, and type of kyphosis for both adult and pediatric patients. Factors associated with increased rate of infection included revision surgery (P &lt; 0.001), performance of spinal fusion (P &lt; 0.001), and use of implants (P &lt; 0.001). Compared with a traditional open approach, use of a minimally invasive approach was associated with a lower rate of infection for lumbar discectomy (0.4% vs. 1.1%; P &lt; 0.001) and for transforaminal lumbar interbody fusion (1.3% vs. 2.9%; P = 0.005). CONCLUSION: Our data suggest that postsurgical infection, even among skilled spine surgeons, is an inherent potential complication. These data provide general benchmarks of infection rates as a basis for ongoing efforts to improve safety of care.", "author" : [ { "dropping-particle" : "", "family" : "Smith", "given" : "Justin S", "non-dropping-particle" : "", "parse-names" : false, "suffix" : "" }, { "dropping-particle" : "", "family" : "Shaffrey", "given" : "Christopher I", "non-dropping-particle" : "", "parse-names" : false, "suffix" : "" }, { "dropping-particle" : "", "family" : "Sansur", "given" : "Charles A", "non-dropping-particle" : "", "parse-names" : false, "suffix" : "" }, { "dropping-particle" : "", "family" : "Berven", "given" : "Sigurd H", "non-dropping-particle" : "", "parse-names" : false, "suffix" : "" }, { "dropping-particle" : "", "family" : "Fu", "given" : "Kai-Ming G", "non-dropping-particle" : "", "parse-names" : false, "suffix" : "" }, { "dropping-particle" : "", "family" : "Broadstone", "given" : "Paul A", "non-dropping-particle" : "", "parse-names" : false, "suffix" : "" }, { "dropping-particle" : "", "family" : "Choma", "given" : "Theodore J", "non-dropping-particle" : "", "parse-names" : false, "suffix" : "" }, { "dropping-particle" : "", "family" : "Goytan", "given" : "Michael J", "non-dropping-particle" : "", "parse-names" : false, "suffix" : "" }, { "dropping-particle" : "", "family" : "Noordeen", "given" : "Hilali H", "non-dropping-particle" : "", "parse-names" : false, "suffix" : "" }, { "dropping-particle" : "", "family" : "Knapp", "given" : "Dennis R", "non-dropping-particle" : "", "parse-names" : false, "suffix" : "" }, { "dropping-particle" : "", "family" : "Hart", "given" : "Robert A", "non-dropping-particle" : "", "parse-names" : false, "suffix" : "" }, { "dropping-particle" : "", "family" : "Donaldson", "given" : "William F", "non-dropping-particle" : "", "parse-names" : false, "suffix" : "" }, { "dropping-particle" : "", "family" : "Polly", "given" : "David W", "non-dropping-particle" : "", "parse-names" : false, "suffix" : "" }, { "dropping-particle" : "", "family" : "Perra", "given" : "Joseph H", "non-dropping-particle" : "", "parse-names" : false, "suffix" : "" }, { "dropping-particle" : "", "family" : "Boachie-Adjei", "given" : "Oheneba", "non-dropping-particle" : "", "parse-names" : false, "suffix" : "" } ], "container-title" : "Spine", "id" : "ITEM-12", "issue" : "7", "issued" : { "date-parts" : [ [ "2011", "4", "1" ] ] }, "page" : "556-63", "title" : "Rates of infection after spine surgery based on 108,419 procedures: a report from the Scoliosis Research Society Morbidity and Mortality Committee.", "type" : "article-journal", "volume" : "36" }, "uris" : [ "http://www.mendeley.com/documents/?uuid=ceb251d5-58d0-4b71-a828-87771e4adef6" ] }, { "id" : "ITEM-13", "itemData" : { "DOI" : "10.2106/JBJS.F.00995", "ISSN" : "1535-1386", "PMID" : "17974885", "abstract" : "The reported prevalence of non-neurologic complications following corrective surgery for adolescent idiopathic scoliosis ranges from 0% to 10%. However, most studies were retrospective evaluations of treatment techniques and did not focus solely on complications. The purpose of this study was to determine the prevalence of non-neurologic complications following surgery for adolescent idiopathic scoliosis and to identify preoperative and operative factors that can increase this risk.", "author" : [ { "dropping-particle" : "", "family" : "Carreon", "given" : "Leah Y", "non-dropping-particle" : "", "parse-names" : false, "suffix" : "" }, { "dropping-particle" : "", "family" : "Puno", "given" : "Rolando M", "non-dropping-particle" : "", "parse-names" : false, "suffix" : "" }, { "dropping-particle" : "", "family" : "Lenke", "given" : "Lawrence G", "non-dropping-particle" : "", "parse-names" : false, "suffix" : "" }, { "dropping-particle" : "", "family" : "Richards", "given" : "B Stephen", "non-dropping-particle" : "", "parse-names" : false, "suffix" : "" }, { "dropping-particle" : "", "family" : "Sucato", "given" : "Daniel J", "non-dropping-particle" : "", "parse-names" : false, "suffix" : "" }, { "dropping-particle" : "", "family" : "Emans", "given" : "John B", "non-dropping-particle" : "", "parse-names" : false, "suffix" : "" }, { "dropping-particle" : "", "family" : "Erickson", "given" : "Mark A", "non-dropping-particle" : "", "parse-names" : false, "suffix" : "" } ], "container-title" : "The Journal of bone and joint surgery. American volume", "id" : "ITEM-13", "issue" : "11", "issued" : { "date-parts" : [ [ "2007", "11" ] ] }, "page" : "2427-32", "title" : "Non-neurologic complications following surgery for adolescent idiopathic scoliosis.", "type" : "article-journal", "volume" : "89" }, "uris" : [ "http://www.mendeley.com/documents/?uuid=a427be94-1770-4bab-aaa1-cd8a51fff8de" ] }, { "id" : "ITEM-14", "itemData" : { "DOI" : "10.1097/BRS.0b013e31829e05d3", "ISSN" : "0362-2436", "author" : [ { "dropping-particle" : "", "family" : "Gans", "given" : "Itai", "non-dropping-particle" : "", "parse-names" : false, "suffix" : "" }, { "dropping-particle" : "", "family" : "Dormans", "given" : "John P.", "non-dropping-particle" : "", "parse-names" : false, "suffix" : "" }, { "dropping-particle" : "", "family" : "Spiegel", "given" : "David A.", "non-dropping-particle" : "", "parse-names" : false, "suffix" : "" }, { "dropping-particle" : "", "family" : "Flynn", "given" : "John M.", "non-dropping-particle" : "", "parse-names" : false, "suffix" : "" }, { "dropping-particle" : "", "family" : "Sankar", "given" : "Wudbhav N.", "non-dropping-particle" : "", "parse-names" : false, "suffix" : "" }, { "dropping-particle" : "", "family" : "Campbell", "given" : "Robert M.", "non-dropping-particle" : "", "parse-names" : false, "suffix" : "" }, { "dropping-particle" : "", "family" : "Baldwin", "given" : "Keith D.", "non-dropping-particle" : "", "parse-names" : false, "suffix" : "" } ], "container-title" : "Spine", "id" : "ITEM-14", "issue" : "19", "issued" : { "date-parts" : [ [ "2013", "9" ] ] }, "page" : "1703-1707", "title" : "Adjunctive Vancomycin Powder in Pediatric Spine Surgery is Safe", "type" : "article-journal", "volume" : "38" }, "uris" : [ "http://www.mendeley.com/documents/?uuid=7fe1e8f3-e1ce-31a1-8e68-12bc543bad7f" ] }, { "id" : "ITEM-15", "itemData" : { "DOI" : "10.1007/s11999-014-3911-4", "ISBN" : "1199901439114", "ISSN" : "15281132", "PMID" : "25201091", "abstract" : "BACKGROUND: Posterior spinal fusion (PSF) is commonly performed for patients with adolescent idiopathic scoliosis (AIS). Identifying factors associated with perioperative morbidity and PSF may lead to strategies for reducing the frequency of adverse events (AEs) in patients and total hospital costs.\\n\\nQUESTIONS/PURPOSES: What is the frequency of and what factors are associated with postoperative: (1) AEs, (2) extended length of stay (LOS), and (3) readmission in patients with AIS undergoing PSF?\\n\\nPATIENTS AND METHODS: Patients, aged 11 to 18 years, who underwent PSF for AIS during 2012, were identified from the American College of Surgeons National Surgical Quality Improvement Program\u00ae (ACS NSQIP\u00ae) Pediatric database. Patient were assessed for characteristics associated with AEs, extended LOS (defined as more than 6 days), and hospital readmission using multivariate logistic regression. Individual AEs captured in the database were grouped into two categories, \"any adverse event\" (AAE) and \"severe adverse events\" (SAEs) for analysis. A total of 733 patients met inclusion criteria.\\n\\nRESULTS: Twenty-seven patients (3.7%) had AAE and 19 patients (2.6%) had SAEs. Both AAE and SAEs were associated with BMI-for-age ninety-fifth percentile or greater (AAE: odds ratio [OR], 3.31; 95% CI, 1.43-7.65; p=0.005. SAE: OR, 3.46; 95% CI, 1.32-9.09; p=0.012). Extended LOS occurred for 60 patients (8.2%) and was associated with greater than 13 levels instrumented (OR, 2.00; 95% CI, 1.11-3.61; p=0.021) and operative time of 365 minutes or more (OR, 2.57; 95% CI, 1.39-4.76; p=0.003). Readmission occurred for 11 patients (1.5%), most often for surgical site infection, and was associated with the occurrence of any complication during the initial hospital stay (OR, 180.44; 95% CI, 35.47-917.97; p&lt;0.001).\\n\\nCONCLUSIONS: Further research on prevention and management of obesity and surgical site infections may reduce perioperative morbidity for patients with AIS undergoing PSF.\\n\\nLEVEL OF EVIDENCE: Level III, prognostic study. See Instructions for Authors for a complete description of levels of evidence.", "author" : [ { "dropping-particle" : "", "family" : "Basques", "given" : "Bryce A.", "non-dropping-particle" : "", "parse-names" : false, "suffix" : "" }, { "dropping-particle" : "", "family" : "Bohl", "given" : "Daniel D.", "non-dropping-particle" : "", "parse-names" : false, "suffix" : "" }, { "dropping-particle" : "", "family" : "Golinvaux", "given" : "Nicholas S.", "non-dropping-particle" : "", "parse-names" : false, "suffix" : "" }, { "dropping-particle" : "", "family" : "Smith", "given" : "Brian G.", "non-dropping-particle" : "", "parse-names" : false, "suffix" : "" }, { "dropping-particle" : "", "family" : "Grauer", "given" : "Jonathan N.", "non-dropping-particle" : "", "parse-names" : false, "suffix" : "" } ], "container-title" : "Clinical Orthopaedics and Related Research", "id" : "ITEM-15", "issue" : "1", "issued" : { "date-parts" : [ [ "2015" ] ] }, "page" : "286-294", "title" : "Patient Factors Are Associated With Poor Short-term Outcomes After Posterior Fusion for Adolescent Idiopathic Scoliosis", "type" : "article-journal", "volume" : "473" }, "uris" : [ "http://www.mendeley.com/documents/?uuid=4f457944-c837-43e2-aaaa-6acb79c93c3e" ] }, { "id" : "ITEM-16", "itemData" : { "DOI" : "10.1097/BPO.0000000000000683", "ISSN" : "0271-6798", "PMID" : "26558959", "abstract" : "BACKGROUND Quality improvement in orthopaedic surgery has received increasing attention; however, there is insufficient information available about the perioperative safety of many common pediatric orthopaedic procedures. This study aimed to characterize the incidence of adverse events in a national pediatric patient sample to understand the risk profiles of common pediatric orthopaedic procedures, and to identify patients and operations that are associated with increased rates of adverse outcomes. METHODS A retrospective cohort study was conducted using the prospectively collected American College of Surgeons National Surgical Quality Improvement Program (NSQIP) Pediatric database. Pediatric patients who underwent 29 different orthopaedic procedures were identified in the 2012 NSQIP Pediatric database. The occurrence of any adverse event, infection, return to the operating room, and readmission within 30 days, were reported for each procedure. Multivariate regression was then used to identify the association of patient and operative characteristics with the occurrence of each adverse outcome. RESULTS A total of 8975 pediatric patients were identified. Supracondylar humerus fracture fixation was the most common procedure performed in this sample (2274 patients or 25.57% of all procedures), followed by posterior spinal fusion (1894 patients or 21.10% of all procedures). Adverse events occurred in 352 patients (3.92% of all patients). Four deaths were noted (0.04% of all patients), which only occurred in patients with nonidiopathic scoliosis undergoing spinal fusion. Infections occurred in 143 patients (1.59%), and 197 patients (2.19%) were readmitted within 30 days. Multiple patient characteristics and procedures were found to be associated with each adverse outcome studied. CONCLUSIONS Spinal fusion, multiaxial external fixation, and fasciotomy were procedures associated with increased rates of adverse outcomes within 30 days. Patients with obesity, ASA class \u22653, and impaired cognitive status also had increased rates of adverse outcomes. The results from this study of a large, national sample of pediatric orthopaedic patients are important for benchmarking and highlight areas for quality improvement. LEVEL OF EVIDENCE Level III-Prognostic.", "author" : [ { "dropping-particle" : "", "family" : "Basques", "given" : "Bryce A.", "non-dropping-particle" : "", "parse-names" : false, "suffix" : "" }, { "dropping-particle" : "", "family" : "Lukasiewicz", "given" : "Adam M.", "non-dropping-particle" : "", "parse-names" : false, "suffix" : "" }, { "dropping-particle" : "", "family" : "Samuel", "given" : "Andre M.", "non-dropping-particle" : "", "parse-names" : false, "suffix" : "" }, { "dropping-particle" : "", "family" : "Webb", "given" : "Matthew L.", "non-dropping-particle" : "", "parse-names" : false, "suffix" : "" }, { "dropping-particle" : "", "family" : "Bohl", "given" : "Daniel D.", "non-dropping-particle" : "", "parse-names" : false, "suffix" : "" }, { "dropping-particle" : "", "family" : "Smith", "given" : "Brian G.", "non-dropping-particle" : "", "parse-names" : false, "suffix" : "" }, { "dropping-particle" : "", "family" : "Grauer", "given" : "Jonathan N.", "non-dropping-particle" : "", "parse-names" : false, "suffix" : "" } ], "container-title" : "Journal of Pediatric Orthopaedics", "id" : "ITEM-16", "issued" : { "date-parts" : [ [ "2015", "11", "10" ] ] }, "page" : "1", "title" : "Which Pediatric Orthopaedic Procedures Have the Greatest Risk of Adverse Outcomes?", "type" : "article-journal" }, "uris" : [ "http://www.mendeley.com/documents/?uuid=f516635e-6091-34e5-8af4-b78f6aaae4df" ] }, { "id" : "ITEM-17", "itemData" : { "ISSN" : "1090-3941", "PMID" : "26055034", "abstract" : "INTRODUCTION Surgical correction of spinal deformity in myelomeningocele is associated with high rates of pseudarthrosis and implant failure. The anterior fusion is traditionally a wide exposure from the thorax to the sacrum. We report minimally invasive lateral interbody fusion (MILIF) to address the issue of fusion between vertebrae with marginal posterior elements while minimizing the morbidity of an open approach. MATERIALS AND METHODS We performed a single-center, retrospective review of patients with myelomeningocele and severe scoliosis who underwent posterior spinal fusion (PSF) and staged MILIF for anterior fusion of the thoracolumbar/lumbar spine. We identified four patients with high risk of curve progression who met the following inclusion criteria: diagnosis of myelomeningocele, severe scoliosis (Cobb angle&gt;70\u00b0), PSF using greater than 80% pedicle screws, age greater than 10 years at time of surgery, and a minimum follow-up of two years. Radiographic, clinical, and complication data were reviewed. RESULTS All four patients achieved fusion (100%). The average age at index surgery was 12.8 years (range, 11-16) and follow-up was 3.2 years (range, 2-4.9). The average preoperative coronal Cobb angle measured 111\u00b0 (range, 74-140\u00b0). The average postoperative Cobb angle at follow-up measured 37\u00b0 (range, 23-42\u00b0). The MILIF procedure was performed an average of six months after the index procedure. After anterior fusion, all patients spent one day in the pediatric ICU and an average of 5.5 days in the hospital (range, 4-7). One patient (25%) developed a postoperative wound infection after PSF which required irrigation and debridement in the operating room. CONCLUSION MILIF as an adjunct to posterior spinal fusion for severe scoliosis associated with myelomeningocele may provide acceptable fusion rates, curve correction, maintenance of correction at mid-term follow-up, and be associated with less morbidity than the traditional anterior approach.", "author" : [ { "dropping-particle" : "", "family" : "Iorio", "given" : "Justin A", "non-dropping-particle" : "", "parse-names" : false, "suffix" : "" }, { "dropping-particle" : "", "family" : "Jakoi", "given" : "Andre M", "non-dropping-particle" : "", "parse-names" : false, "suffix" : "" }, { "dropping-particle" : "", "family" : "Steiner", "given" : "Craig D", "non-dropping-particle" : "", "parse-names" : false, "suffix" : "" }, { "dropping-particle" : "", "family" : "Cahill", "given" : "Patrick J", "non-dropping-particle" : "", "parse-names" : false, "suffix" : "" }, { "dropping-particle" : "", "family" : "Samdani", "given" : "Amer", "non-dropping-particle" : "", "parse-names" : false, "suffix" : "" }, { "dropping-particle" : "", "family" : "Betz", "given" : "Randal R", "non-dropping-particle" : "", "parse-names" : false, "suffix" : "" }, { "dropping-particle" : "", "family" : "Singla", "given" : "Anuj", "non-dropping-particle" : "", "parse-names" : false, "suffix" : "" } ], "container-title" : "Surgical technology international", "id" : "ITEM-17", "issued" : { "date-parts" : [ [ "2015", "5" ] ] }, "page" : "371-5", "title" : "Minimally Invasive Lateral Interbody Fusion in the Treatment of Scoliosis Associated with Myelomeningocele.", "type" : "article-journal", "volume" : "26" }, "uris" : [ "http://www.mendeley.com/documents/?uuid=9bf17593-149f-3428-9aa3-ad7a72c20159" ] }, { "id" : "ITEM-18", "itemData" : { "DOI" : "10.1097/BRS.0000000000000465", "ISSN" : "1528-1159", "PMID" : "24921849", "abstract" : "STUDY DESIGN Retrospective cohort analysis. OBJECTIVE To establish if drain levels exceed the minimum inhibitory concentrations for common pathogens (methicillin-resistant Staphylococcus aureus, methicillin-sensitive Staphylococcus aureus, and Propionibacterium acnes-2 \u03bcg/mL; Staphylococcus epidermidis, Enterococcus faecalis-4 \u03bcg/mL). Evaluate the safety of topical vancomycin in pediatric patients undergoing spinal deformity surgery and determine if postoperative serum levels approach toxicity (25 \u03bcg/mL). SUMMARY OF BACKGROUND DATA The application of topical vancomycin powder has decreased postoperative wound infections in retrospective analyses in the adult population with minimal local and systemic risks. The safety and efficacy of vancomycin powder has not been completely evaluated in the pediatric population after deformity surgery. METHODS Topical vancomycin powder (1 g) was applied during wound closure after instrumented posterior spinal fusion. All patients received intravenous perioperative antibiotics and a subfascial drain was used. Serum and drain vancomycin levels were collected immediately postoperatively and during the first 2 postoperative days (PODs). Complications were recorded. RESULTS The study population consisted of 25 patients with a mean age of 13.5 years (9.5-17.1 yr) and mean \u00b1 standard deviation body weight of 44.5 \u00b1 18 kg. Underlying diagnoses included: adolescent idiopathic scoliosis (12), neuromuscular scoliosis (10), and kyphosis (3). Mean serum vancomycin levels trended downward from 2.5 \u03bcg/mL (POD 0) to 1.9 \u03bcg/mL (POD 1) to 1.1 \u03bcg/mL (POD 2). Mean drain levels also trended downward from 403 \u03bcg/mL (POD 0) to 251 \u03bcg/mL (POD 1) to 115 \u03bcg/mL (POD 2). No vancomycin toxicity or deep wound infections were observed. One patient with neuromuscular scoliosis developed a superficial wound dehiscence that was managed with dressing changes. CONCLUSION Topical application of vancomycin powder in pediatric spinal deformity surgery produced local levels well above the minimum inhibitory concentration for common pathogens and serum levels below the toxicity threshold (25 \u03bcg/mL). There were no deep wound or antibiotic related complications. LEVEL OF EVIDENCE 3.", "author" : [ { "dropping-particle" : "", "family" : "Armaghani", "given" : "Sheyan J", "non-dropping-particle" : "", "parse-names" : false, "suffix" : "" }, { "dropping-particle" : "", "family" : "Menge", "given" : "Travis J", "non-dropping-particle" : "", "parse-names" : false, "suffix" : "" }, { "dropping-particle" : "", "family" : "Lovejoy", "given" : "Steven A", "non-dropping-particle" : "", "parse-names" : false, "suffix" : "" }, { "dropping-particle" : "", "family" : "Mencio", "given" : "Gregory A", "non-dropping-particle" : "", "parse-names" : false, "suffix" : "" }, { "dropping-particle" : "", "family" : "Martus", "given" : "Jeffrey E", "non-dropping-particle" : "", "parse-names" : false, "suffix" : "" } ], "container-title" : "Spine", "id" : "ITEM-18", "issue" : "20", "issued" : { "date-parts" : [ [ "2014", "9", "15" ] ] }, "page" : "1683-7", "title" : "Safety of topical vancomycin for pediatric spinal deformity: nontoxic serum levels with supratherapeutic drain levels.", "type" : "article-journal", "volume" : "39" }, "uris" : [ "http://www.mendeley.com/documents/?uuid=41f94ff3-132b-3abb-8d58-f15dc43ef3ab" ] } ], "mendeley" : { "formattedCitation" : "&lt;sup&gt;4\u201321&lt;/sup&gt;", "plainTextFormattedCitation" : "4\u201321", "previouslyFormattedCitation" : "&lt;sup&gt;4\u201321&lt;/sup&gt;" }, "properties" : { "noteIndex" : 0 }, "schema" : "https://github.com/citation-style-language/schema/raw/master/csl-citation.json" }</w:instrText>
      </w:r>
      <w:r w:rsidRPr="000B6AA8">
        <w:rPr>
          <w:rFonts w:ascii="Times New Roman" w:hAnsi="Times New Roman" w:cs="Times New Roman"/>
        </w:rPr>
        <w:fldChar w:fldCharType="separate"/>
      </w:r>
      <w:r w:rsidRPr="000B6AA8">
        <w:rPr>
          <w:rFonts w:ascii="Times New Roman" w:hAnsi="Times New Roman" w:cs="Times New Roman"/>
          <w:noProof/>
          <w:vertAlign w:val="superscript"/>
        </w:rPr>
        <w:t>4–21</w:t>
      </w:r>
      <w:r w:rsidRPr="000B6AA8">
        <w:rPr>
          <w:rFonts w:ascii="Times New Roman" w:hAnsi="Times New Roman" w:cs="Times New Roman"/>
        </w:rPr>
        <w:fldChar w:fldCharType="end"/>
      </w:r>
      <w:r w:rsidRPr="000B6AA8">
        <w:rPr>
          <w:rFonts w:ascii="Times New Roman" w:hAnsi="Times New Roman" w:cs="Times New Roman"/>
        </w:rPr>
        <w:t xml:space="preserve">. </w:t>
      </w:r>
      <w:r w:rsidR="00CA70B5" w:rsidRPr="000B6AA8">
        <w:rPr>
          <w:rFonts w:ascii="Times New Roman" w:hAnsi="Times New Roman" w:cs="Times New Roman"/>
        </w:rPr>
        <w:t xml:space="preserve">SSI </w:t>
      </w:r>
      <w:r w:rsidR="0050396C">
        <w:rPr>
          <w:rFonts w:ascii="Times New Roman" w:hAnsi="Times New Roman" w:cs="Times New Roman"/>
        </w:rPr>
        <w:t>in this population has</w:t>
      </w:r>
      <w:r w:rsidR="00CA70B5" w:rsidRPr="000B6AA8">
        <w:rPr>
          <w:rFonts w:ascii="Times New Roman" w:hAnsi="Times New Roman" w:cs="Times New Roman"/>
        </w:rPr>
        <w:t xml:space="preserve"> a major impact on quality of life, caretaker burden and healthcare expenditure. </w:t>
      </w:r>
      <w:r w:rsidRPr="000B6AA8">
        <w:rPr>
          <w:rFonts w:ascii="Times New Roman" w:hAnsi="Times New Roman" w:cs="Times New Roman"/>
        </w:rPr>
        <w:t>Treatment of SSI entails long-term antibiotic prophylaxis, multiple surgeries for repeated irrigation and debridement, implant retention, removal, or revision surgery</w:t>
      </w:r>
      <w:r w:rsidR="0050396C">
        <w:rPr>
          <w:rFonts w:ascii="Times New Roman" w:hAnsi="Times New Roman" w:cs="Times New Roman"/>
        </w:rPr>
        <w:t>, which often subsequently results in prolonged hospitalization and immense financial cost</w:t>
      </w:r>
      <w:r w:rsidRPr="000B6AA8">
        <w:rPr>
          <w:rFonts w:ascii="Times New Roman" w:hAnsi="Times New Roman" w:cs="Times New Roman"/>
        </w:rPr>
        <w:fldChar w:fldCharType="begin" w:fldLock="1"/>
      </w:r>
      <w:r w:rsidR="0080515B">
        <w:rPr>
          <w:rFonts w:ascii="Times New Roman" w:hAnsi="Times New Roman" w:cs="Times New Roman"/>
        </w:rPr>
        <w:instrText>ADDIN CSL_CITATION { "citationItems" : [ { "id" : "ITEM-1", "itemData" : { "DOI" : "10.1097/BRS.0b013e31818ed75e", "ISSN" : "1528-1159", "PMID" : "19077923", "abstract" : "STUDY DESIGN: A retrospective case series. OBJECTIVE: To determine if implant retention is possible in spinal deformity cases which present as a delayed (greater than 3 months) surgical site infection. SUMMARY OF BACKGROUND DATA: The retention of spinal implants in deformity surgery is possible with an acute surgical site infection. Currently, the decision whether or not to retain implants in a delayed surgical site infection is unclear. METHODS: A retrospective review of 26 cases of delayed surgical site infections after spinal deformity surgery. Data and information was recorded regarding the initial management of the surgical site infection, the number of operations performed related to the infection, and whether or not the infection could be cleared with implant retention. The number of operations, hospital days, and charges related to the treatment of the infection were recorded. RESULTS: In this series, no patient was able to clear their infection without spinal implant removal. The number of operations required to clear the infection, length of hospitalization, and financial charges were proportionate to the timing of implant removal. CONCLUSION: Delayed surgical site infections after spinal instrumentation for deformity need to be treated with implant removal to clear the surgical site infection. Patients may require to undergo repeat instrumentation and fusion at a later date if they develop progressive deformity or symptomatic pseudarthrosis after implant removal.", "author" : [ { "dropping-particle" : "", "family" : "Hedequist", "given" : "Daniel", "non-dropping-particle" : "", "parse-names" : false, "suffix" : "" }, { "dropping-particle" : "", "family" : "Haugen", "given" : "Anne", "non-dropping-particle" : "", "parse-names" : false, "suffix" : "" }, { "dropping-particle" : "", "family" : "Hresko", "given" : "Timothy", "non-dropping-particle" : "", "parse-names" : false, "suffix" : "" }, { "dropping-particle" : "", "family" : "Emans", "given" : "John", "non-dropping-particle" : "", "parse-names" : false, "suffix" : "" } ], "container-title" : "Spine", "id" : "ITEM-1", "issue" : "1", "issued" : { "date-parts" : [ [ "2009", "1", "1" ] ] }, "page" : "60-4", "title" : "Failure of attempted implant retention in spinal deformity delayed surgical site infections.", "type" : "article-journal", "volume" : "34" }, "uris" : [ "http://www.mendeley.com/documents/?uuid=8a88d1b5-c060-4da7-9bf0-e481a76ff55b" ] }, { "id" : "ITEM-2", "itemData" : { "DOI" : "10.1097/BRS.0b013e31815a5a86", "ISBN" : "1528-1159 (Electronic) 0362-2436 (Linking)", "ISSN" : "0362-2436", "PMID" : "18007254", "abstract" : "STUDY DESIGN: Case series retrospective review. OBJECTIVE: To identify what factors predict successful eradication of infection after I&amp;D of an infected posterior spinal fusion with instrumentation. SUMMARY OF BACKGROUND DATA: The treatment of infection of instrumented spine fusions in children has few clear guidelines in the literature. METHODS: The medical records of patients who required a surgical irrigation and debridement (I&amp;D) for infection after posterior spinal fusion and instrumentation for scoliosis from 1995 to 2002 were retrospectively reviewed. RESULTS: Fifty-three patients were identified with the following underlying diagnoses: 21 patients (40%) idiopathic scoliosis, 10 patients (23%) cerebral palsy, 3 patients (6%) spina bifida, 1 patient (2%) congenital scoliosis, and 17 patients (32%) other. There were 31 patients (58%) with surgery &lt;6 months from initial fusion, and 22 (42%) patients &gt;6 months. Of the 43 patients with implant retained at the time of the first I&amp;D, 20 patients required a second I&amp;D (47%). Of the 10 patients with complete implant removal, 2 patients required a second I&amp;D (20%). Coagulase-negative Staphylococcus was the most prevalent organism, growing in 25 (47%) of the cultures. Of patients with idiopathic scoliosis, 8 of 21 (38%) required a second I &amp; D; of the patients with other diagnoses, 14 of 32 (44%) required a second I&amp;D, which was not a significant difference (P &gt; 0.05). CONCLUSION: To the best of our knowledge, this is the largest reported series of spinal implant infections. When children with an infection after posterior spinal fusion with instrumentation undergo irrigation and debridement, there is a nearly 50% chance that the infection will remain if all spinal implants are not removed. As nearly 50% of the infections were caused by coagulase-negative Staphylococcus, we recommend that prophylactic antibiotic coverage for this organism is used at the time of the initial spinal fusion.", "author" : [ { "dropping-particle" : "", "family" : "Ho", "given" : "Christine", "non-dropping-particle" : "", "parse-names" : false, "suffix" : "" }, { "dropping-particle" : "", "family" : "Skaggs", "given" : "David L", "non-dropping-particle" : "", "parse-names" : false, "suffix" : "" }, { "dropping-particle" : "", "family" : "Weiss", "given" : "Jennifer M", "non-dropping-particle" : "", "parse-names" : false, "suffix" : "" }, { "dropping-particle" : "", "family" : "Tolo", "given" : "Vernon T", "non-dropping-particle" : "", "parse-names" : false, "suffix" : "" } ], "container-title" : "Spine", "id" : "ITEM-2", "issue" : "24", "issued" : { "date-parts" : [ [ "2007", "11" ] ] }, "note" : "From Duplicate 1 ( Management of infection after instrumented posterior spine fusion in pediatric scoliosis. - Ho, Christine; Skaggs, David L; Weiss, Jennifer M; Tolo, Vernon T )\n\n\n\nFrom Duplicate 2 ( Management of infection after instrumented posterior spine fusion in pediatric scoliosis - Ho, C; Skaggs, D L; Weiss, J M; Tolo, V T )\n\nNov 15\n\n\nFrom Duplicate 3 ( Management of infection after instrumented posterior spine fusion in pediatric scoliosis - Ho, Christine; Skaggs, David L; Weiss, Jennifer M; Tolo, Vernon T )\n\nFrom Duplicate 1 ( Management of infection after instrumented posterior spine fusion in pediatric scoliosis. - Ho, Christine; Skaggs, David L; Weiss, Jennifer M; Tolo, Vernon T )\n\n\n\nFrom Duplicate 2 ( Management of infection after instrumented posterior spine fusion in pediatric scoliosis - Ho, C; Skaggs, D L; Weiss, J M; Tolo, V T )\n\nNov 15", "page" : "2739-2744", "publisher-place" : "Department of Orthopaedics, Texas Scottish Rite Hospital for Children, Dallas, TX, USA.", "title" : "Management of infection after instrumented posterior spine fusion in pediatric scoliosis.", "type" : "article-journal", "volume" : "32" }, "uris" : [ "http://www.mendeley.com/documents/?uuid=108c8779-33e5-40f5-afa4-e57b40f7ad64" ] } ], "mendeley" : { "formattedCitation" : "&lt;sup&gt;22,23&lt;/sup&gt;", "plainTextFormattedCitation" : "22,23", "previouslyFormattedCitation" : "&lt;sup&gt;22,23&lt;/sup&gt;" }, "properties" : { "noteIndex" : 0 }, "schema" : "https://github.com/citation-style-language/schema/raw/master/csl-citation.json" }</w:instrText>
      </w:r>
      <w:r w:rsidRPr="000B6AA8">
        <w:rPr>
          <w:rFonts w:ascii="Times New Roman" w:hAnsi="Times New Roman" w:cs="Times New Roman"/>
        </w:rPr>
        <w:fldChar w:fldCharType="separate"/>
      </w:r>
      <w:r w:rsidRPr="000B6AA8">
        <w:rPr>
          <w:rFonts w:ascii="Times New Roman" w:hAnsi="Times New Roman" w:cs="Times New Roman"/>
          <w:noProof/>
          <w:vertAlign w:val="superscript"/>
        </w:rPr>
        <w:t>22,23</w:t>
      </w:r>
      <w:r w:rsidRPr="000B6AA8">
        <w:rPr>
          <w:rFonts w:ascii="Times New Roman" w:hAnsi="Times New Roman" w:cs="Times New Roman"/>
        </w:rPr>
        <w:fldChar w:fldCharType="end"/>
      </w:r>
      <w:r w:rsidR="0050396C">
        <w:rPr>
          <w:rFonts w:ascii="Times New Roman" w:hAnsi="Times New Roman" w:cs="Times New Roman"/>
        </w:rPr>
        <w:t xml:space="preserve">. </w:t>
      </w:r>
      <w:r w:rsidRPr="000B6AA8">
        <w:rPr>
          <w:rFonts w:ascii="Times New Roman" w:hAnsi="Times New Roman" w:cs="Times New Roman"/>
        </w:rPr>
        <w:t>This massive burden of SSIs demands our commitment to both define the risk factors associated</w:t>
      </w:r>
      <w:r w:rsidR="0050396C">
        <w:rPr>
          <w:rFonts w:ascii="Times New Roman" w:hAnsi="Times New Roman" w:cs="Times New Roman"/>
        </w:rPr>
        <w:t xml:space="preserve"> with SSIs and</w:t>
      </w:r>
      <w:r w:rsidRPr="000B6AA8">
        <w:rPr>
          <w:rFonts w:ascii="Times New Roman" w:hAnsi="Times New Roman" w:cs="Times New Roman"/>
        </w:rPr>
        <w:t xml:space="preserve"> develop strategies to minimize SSI.</w:t>
      </w:r>
    </w:p>
    <w:p w14:paraId="52915EAB" w14:textId="485822E6" w:rsidR="00CA70B5" w:rsidRPr="000B6AA8" w:rsidRDefault="00CA70B5" w:rsidP="00CA70B5">
      <w:pPr>
        <w:ind w:firstLine="720"/>
        <w:rPr>
          <w:rFonts w:ascii="Times New Roman" w:hAnsi="Times New Roman" w:cs="Times New Roman"/>
        </w:rPr>
      </w:pPr>
      <w:r w:rsidRPr="000B6AA8">
        <w:rPr>
          <w:rFonts w:ascii="Times New Roman" w:hAnsi="Times New Roman" w:cs="Times New Roman"/>
        </w:rPr>
        <w:t xml:space="preserve">In developing strategies to prevent SSI after scoliosis surgery in pediatric populations, it is essential to create a </w:t>
      </w:r>
      <w:r w:rsidR="0050396C">
        <w:rPr>
          <w:rFonts w:ascii="Times New Roman" w:hAnsi="Times New Roman" w:cs="Times New Roman"/>
        </w:rPr>
        <w:t>system to stratify patients by their risk of SSI. A patient-specific risk severity score</w:t>
      </w:r>
      <w:r w:rsidRPr="000B6AA8">
        <w:rPr>
          <w:rFonts w:ascii="Times New Roman" w:hAnsi="Times New Roman" w:cs="Times New Roman"/>
        </w:rPr>
        <w:t xml:space="preserve"> (RSS) </w:t>
      </w:r>
      <w:r w:rsidR="0050396C">
        <w:rPr>
          <w:rFonts w:ascii="Times New Roman" w:hAnsi="Times New Roman" w:cs="Times New Roman"/>
        </w:rPr>
        <w:t xml:space="preserve">stratification system </w:t>
      </w:r>
      <w:r w:rsidRPr="000B6AA8">
        <w:rPr>
          <w:rFonts w:ascii="Times New Roman" w:hAnsi="Times New Roman" w:cs="Times New Roman"/>
        </w:rPr>
        <w:t>will allow</w:t>
      </w:r>
      <w:r w:rsidR="0050396C">
        <w:rPr>
          <w:rFonts w:ascii="Times New Roman" w:hAnsi="Times New Roman" w:cs="Times New Roman"/>
        </w:rPr>
        <w:t xml:space="preserve"> us to enhance shared decision-</w:t>
      </w:r>
      <w:r w:rsidRPr="000B6AA8">
        <w:rPr>
          <w:rFonts w:ascii="Times New Roman" w:hAnsi="Times New Roman" w:cs="Times New Roman"/>
        </w:rPr>
        <w:t xml:space="preserve">making and improve patient care while concomitantly providing fair hospital comparisons, public reporting mechanisms, and reimbursement determinations. </w:t>
      </w:r>
      <w:r w:rsidR="00DB6F08" w:rsidRPr="000B6AA8">
        <w:rPr>
          <w:rFonts w:ascii="Times New Roman" w:hAnsi="Times New Roman" w:cs="Times New Roman"/>
        </w:rPr>
        <w:t>This study aims to develop and evaluate a risk severity score (RSS) system based on patients’ preoperative information to predict SSI in EOS patients undergoing spinal surgery.</w:t>
      </w:r>
    </w:p>
    <w:p w14:paraId="2DE9B2B2" w14:textId="77777777" w:rsidR="00DB6F08" w:rsidRPr="000B6AA8" w:rsidRDefault="00DB6F08" w:rsidP="00DB6F08">
      <w:pPr>
        <w:rPr>
          <w:rFonts w:ascii="Times New Roman" w:hAnsi="Times New Roman" w:cs="Times New Roman"/>
        </w:rPr>
      </w:pPr>
    </w:p>
    <w:p w14:paraId="797911B4" w14:textId="77777777" w:rsidR="00DB6F08" w:rsidRPr="007D0AE3" w:rsidRDefault="00DB6F08" w:rsidP="00DB6F08">
      <w:pPr>
        <w:rPr>
          <w:rFonts w:ascii="Times New Roman" w:hAnsi="Times New Roman" w:cs="Times New Roman"/>
          <w:b/>
        </w:rPr>
      </w:pPr>
      <w:r w:rsidRPr="007D0AE3">
        <w:rPr>
          <w:rFonts w:ascii="Times New Roman" w:hAnsi="Times New Roman" w:cs="Times New Roman"/>
          <w:b/>
        </w:rPr>
        <w:t xml:space="preserve">METHODS: </w:t>
      </w:r>
    </w:p>
    <w:p w14:paraId="34A92BB0" w14:textId="77777777" w:rsidR="00CA70B5" w:rsidRPr="007D0AE3" w:rsidRDefault="00CA70B5" w:rsidP="00807181">
      <w:pPr>
        <w:rPr>
          <w:rFonts w:ascii="Times New Roman" w:hAnsi="Times New Roman" w:cs="Times New Roman"/>
        </w:rPr>
      </w:pPr>
    </w:p>
    <w:p w14:paraId="58FDDE2C" w14:textId="77777777" w:rsidR="00EA4E42" w:rsidRPr="007D0AE3" w:rsidRDefault="00EA4E42" w:rsidP="00807181">
      <w:pPr>
        <w:rPr>
          <w:rFonts w:ascii="Times New Roman" w:hAnsi="Times New Roman" w:cs="Times New Roman"/>
          <w:b/>
          <w:i/>
        </w:rPr>
      </w:pPr>
      <w:r w:rsidRPr="0006425D">
        <w:rPr>
          <w:rFonts w:ascii="Times New Roman" w:hAnsi="Times New Roman" w:cs="Times New Roman"/>
          <w:b/>
          <w:i/>
        </w:rPr>
        <w:t>Study Patients</w:t>
      </w:r>
    </w:p>
    <w:p w14:paraId="1E4112A8" w14:textId="621B6399" w:rsidR="00EA4E42" w:rsidRPr="007D0AE3" w:rsidRDefault="004438F9" w:rsidP="007D0AE3">
      <w:pPr>
        <w:shd w:val="clear" w:color="auto" w:fill="FFFFFF"/>
        <w:rPr>
          <w:rFonts w:ascii="Times New Roman" w:eastAsia="Times New Roman" w:hAnsi="Times New Roman" w:cs="Times New Roman"/>
          <w:color w:val="000000"/>
        </w:rPr>
      </w:pPr>
      <w:r w:rsidRPr="007D0AE3">
        <w:rPr>
          <w:rFonts w:ascii="Times New Roman" w:hAnsi="Times New Roman" w:cs="Times New Roman"/>
        </w:rPr>
        <w:tab/>
      </w:r>
      <w:r w:rsidR="007D0AE3" w:rsidRPr="007D0AE3">
        <w:rPr>
          <w:rFonts w:ascii="Times New Roman" w:eastAsia="Times New Roman" w:hAnsi="Times New Roman" w:cs="Times New Roman"/>
          <w:color w:val="000000"/>
        </w:rPr>
        <w:t xml:space="preserve">This study identified patients who underwent surgical procedures to correct spinal deformity from October 2010 to December 2016 entered into the Children’s Spine Study Group registry and the Growing Spine Study Group registry from 15 different academic medical institutions. All patients underwent </w:t>
      </w:r>
      <w:r w:rsidR="007E067E">
        <w:rPr>
          <w:rFonts w:ascii="Times New Roman" w:eastAsia="Times New Roman" w:hAnsi="Times New Roman" w:cs="Times New Roman"/>
          <w:color w:val="000000"/>
        </w:rPr>
        <w:t>initial implantation</w:t>
      </w:r>
      <w:r w:rsidR="007D0AE3" w:rsidRPr="007D0AE3">
        <w:rPr>
          <w:rFonts w:ascii="Times New Roman" w:eastAsia="Times New Roman" w:hAnsi="Times New Roman" w:cs="Times New Roman"/>
          <w:color w:val="000000"/>
        </w:rPr>
        <w:t xml:space="preserve"> with growth friendly instrumentation (magnetically-controlled growing rods (MCGR), the traditional growing rod (TGR), Vertical Expandable Prosthetic </w:t>
      </w:r>
      <w:r w:rsidR="00554B06">
        <w:rPr>
          <w:rFonts w:ascii="Times New Roman" w:eastAsia="Times New Roman" w:hAnsi="Times New Roman" w:cs="Times New Roman"/>
          <w:color w:val="000000"/>
        </w:rPr>
        <w:t>Titanium Rib (VEPTR) or Shilla)</w:t>
      </w:r>
      <w:r w:rsidR="007D0AE3" w:rsidRPr="007D0AE3">
        <w:rPr>
          <w:rFonts w:ascii="Times New Roman" w:eastAsia="Times New Roman" w:hAnsi="Times New Roman" w:cs="Times New Roman"/>
          <w:color w:val="000000"/>
        </w:rPr>
        <w:t xml:space="preserve"> or received posterior instrumentation and fusion for spinal deformity correction. Inclusion criteria included patients who were diagnosed with early onset scoliosis (before 10 years of age), had follow up</w:t>
      </w:r>
      <w:r w:rsidR="005A17B2">
        <w:rPr>
          <w:rFonts w:ascii="Times New Roman" w:eastAsia="Times New Roman" w:hAnsi="Times New Roman" w:cs="Times New Roman"/>
          <w:color w:val="000000"/>
        </w:rPr>
        <w:t xml:space="preserve"> between 90 days and 7.5 years</w:t>
      </w:r>
      <w:r w:rsidR="007D0AE3" w:rsidRPr="007D0AE3">
        <w:rPr>
          <w:rFonts w:ascii="Times New Roman" w:eastAsia="Times New Roman" w:hAnsi="Times New Roman" w:cs="Times New Roman"/>
          <w:color w:val="000000"/>
        </w:rPr>
        <w:t>, and were between 0 and 21 years of age on the day of the surgery. All patients received standard preoperative evaluations during routine office visits.</w:t>
      </w:r>
    </w:p>
    <w:p w14:paraId="4175743F" w14:textId="77777777" w:rsidR="00CD602F" w:rsidRPr="000B6AA8" w:rsidRDefault="00CD602F">
      <w:pPr>
        <w:rPr>
          <w:rFonts w:ascii="Times New Roman" w:hAnsi="Times New Roman" w:cs="Times New Roman"/>
        </w:rPr>
      </w:pPr>
    </w:p>
    <w:p w14:paraId="51F97E16" w14:textId="77777777" w:rsidR="004E5BC2" w:rsidRPr="000B6AA8" w:rsidRDefault="004E5BC2" w:rsidP="004E5BC2">
      <w:pPr>
        <w:pStyle w:val="MediumGrid21"/>
        <w:outlineLvl w:val="0"/>
        <w:rPr>
          <w:rFonts w:ascii="Times New Roman" w:hAnsi="Times New Roman"/>
          <w:b/>
          <w:i/>
          <w:sz w:val="24"/>
          <w:szCs w:val="24"/>
        </w:rPr>
      </w:pPr>
      <w:r w:rsidRPr="000B6AA8">
        <w:rPr>
          <w:rFonts w:ascii="Times New Roman" w:hAnsi="Times New Roman"/>
          <w:b/>
          <w:i/>
          <w:sz w:val="24"/>
          <w:szCs w:val="24"/>
        </w:rPr>
        <w:t>Data Collection</w:t>
      </w:r>
    </w:p>
    <w:p w14:paraId="6B66ECBA" w14:textId="77777777" w:rsidR="004E5BC2" w:rsidRPr="000B6AA8" w:rsidRDefault="004E5BC2" w:rsidP="004E5BC2">
      <w:pPr>
        <w:pStyle w:val="MediumGrid21"/>
        <w:ind w:firstLine="720"/>
        <w:rPr>
          <w:rFonts w:ascii="Times New Roman" w:hAnsi="Times New Roman"/>
          <w:sz w:val="24"/>
          <w:szCs w:val="24"/>
        </w:rPr>
      </w:pPr>
      <w:r w:rsidRPr="000B6AA8">
        <w:rPr>
          <w:rFonts w:ascii="Times New Roman" w:hAnsi="Times New Roman"/>
          <w:sz w:val="24"/>
          <w:szCs w:val="24"/>
        </w:rPr>
        <w:t xml:space="preserve">Investigators at each site reviewed the charts of eligible patients. The data collection sheet included patient characteristics: age on the date of surgery, gender, height, weight, etiology and type of spine deformity, type of spinal surgery, the presence of fused ribs, medical comorbidities (cardiac comorbidities, such as valve disorders or congenital defects; developmental delay, such as cognitive slowing, attention deficit hyperactivity disorder; endocrine comorbidity, such as diabetes, hypothyroidism; gastrointestinal comorbidity, such as gastrointestinal reflux disease, hiatal hernia; immunologic comorbidity, such as eczema, allergies; musculoskeletal comorbidities, such as myopathies; neurologic comorbidities, such as myelomeningocele, seizures; nutritional comorbidities, such as failure to thrive; Crohn’s disease; pulmonary comorbidities, such as asthma, restrictive airway disease; urinary incontinence), ambulatory status, presence of a feeding tube, presence of a ventriculoperitoneal shunt, </w:t>
      </w:r>
      <w:r w:rsidRPr="000B6AA8">
        <w:rPr>
          <w:rFonts w:ascii="Times New Roman" w:hAnsi="Times New Roman"/>
          <w:sz w:val="24"/>
          <w:szCs w:val="24"/>
        </w:rPr>
        <w:lastRenderedPageBreak/>
        <w:t>respiratory status, and the Cobb angle of the major curve and kyphosis. Preoperative laboratory data included hemoglobin, hematocrit, white blood cell count and preoperative urinalysis or culture (within 90 days of surgery).  Each of the eligible medical records was reviewed to evaluate for the development of a SSI. All de-identified data was reviewed and verified at the main institution by orthopaedic surgeons and an epidemiologist.  Any discrepancy or ambiguity of data was sent back to each institution for audit.</w:t>
      </w:r>
    </w:p>
    <w:p w14:paraId="66949A7F" w14:textId="77777777" w:rsidR="004E5BC2" w:rsidRPr="000B6AA8" w:rsidRDefault="004E5BC2" w:rsidP="004E5BC2">
      <w:pPr>
        <w:pStyle w:val="MediumGrid21"/>
        <w:rPr>
          <w:rFonts w:ascii="Times New Roman" w:hAnsi="Times New Roman"/>
          <w:b/>
          <w:i/>
          <w:sz w:val="24"/>
          <w:szCs w:val="24"/>
        </w:rPr>
      </w:pPr>
    </w:p>
    <w:p w14:paraId="6DF7EEF3" w14:textId="77777777" w:rsidR="004E5BC2" w:rsidRPr="000B6AA8" w:rsidRDefault="004E5BC2" w:rsidP="004E5BC2">
      <w:pPr>
        <w:pStyle w:val="MediumGrid21"/>
        <w:outlineLvl w:val="0"/>
        <w:rPr>
          <w:rFonts w:ascii="Times New Roman" w:hAnsi="Times New Roman"/>
          <w:b/>
          <w:i/>
          <w:sz w:val="24"/>
          <w:szCs w:val="24"/>
        </w:rPr>
      </w:pPr>
      <w:r w:rsidRPr="000B6AA8">
        <w:rPr>
          <w:rFonts w:ascii="Times New Roman" w:hAnsi="Times New Roman"/>
          <w:b/>
          <w:i/>
          <w:sz w:val="24"/>
          <w:szCs w:val="24"/>
        </w:rPr>
        <w:t>Predicting Factors</w:t>
      </w:r>
    </w:p>
    <w:p w14:paraId="5B96C0EF" w14:textId="5579BC6F" w:rsidR="004E5BC2" w:rsidRPr="000B6AA8" w:rsidRDefault="004E5BC2" w:rsidP="004E5BC2">
      <w:pPr>
        <w:pStyle w:val="MediumGrid21"/>
        <w:ind w:firstLine="720"/>
        <w:rPr>
          <w:rFonts w:ascii="Times New Roman" w:hAnsi="Times New Roman"/>
          <w:sz w:val="24"/>
          <w:szCs w:val="24"/>
        </w:rPr>
      </w:pPr>
      <w:r w:rsidRPr="000B6AA8">
        <w:rPr>
          <w:rFonts w:ascii="Times New Roman" w:hAnsi="Times New Roman"/>
          <w:sz w:val="24"/>
          <w:szCs w:val="24"/>
        </w:rPr>
        <w:t xml:space="preserve">All continuous and categorical variables were classified into binary variables. Body mass index (BMI) was calculated using the Center for Disease Control and Prevention (CDC) BMI calculator and BMI percentile calculator for children and teenagers </w:t>
      </w:r>
      <w:r w:rsidRPr="000B6AA8">
        <w:rPr>
          <w:rFonts w:ascii="Times New Roman" w:hAnsi="Times New Roman"/>
          <w:sz w:val="24"/>
          <w:szCs w:val="24"/>
        </w:rPr>
        <w:fldChar w:fldCharType="begin"/>
      </w:r>
      <w:r w:rsidRPr="000B6AA8">
        <w:rPr>
          <w:rFonts w:ascii="Times New Roman" w:hAnsi="Times New Roman"/>
          <w:sz w:val="24"/>
          <w:szCs w:val="24"/>
        </w:rPr>
        <w:instrText xml:space="preserve"> ADDIN EN.CITE &lt;EndNote&gt;&lt;Cite&gt;&lt;Author&gt;Prevention&lt;/Author&gt;&lt;RecNum&gt;29&lt;/RecNum&gt;&lt;DisplayText&gt;(21)&lt;/DisplayText&gt;&lt;record&gt;&lt;rec-number&gt;29&lt;/rec-number&gt;&lt;foreign-keys&gt;&lt;key app="EN" db-id="r9v2apv9uf52xoedpfsp2zss2pr9x59sfaez" timestamp="1433349834"&gt;29&lt;/key&gt;&lt;/foreign-keys&gt;&lt;ref-type name="Web Page"&gt;12&lt;/ref-type&gt;&lt;contributors&gt;&lt;authors&gt;&lt;author&gt;Centers for Disease Control and Prevention&lt;/author&gt;&lt;/authors&gt;&lt;/contributors&gt;&lt;titles&gt;&lt;/titles&gt;&lt;number&gt;May 2015&lt;/number&gt;&lt;dates&gt;&lt;year&gt;2015&lt;/year&gt;&lt;pub-dates&gt;&lt;date&gt;April 17, 2015&lt;/date&gt;&lt;/pub-dates&gt;&lt;/dates&gt;&lt;pub-location&gt;Atlanta, GA&lt;/pub-location&gt;&lt;urls&gt;&lt;related-urls&gt;&lt;url&gt;http://www.cdc.gov/healthyweight/assessing/bmi/childrens_bmi/tool_for_schools.html&lt;/url&gt;&lt;/related-urls&gt;&lt;/urls&gt;&lt;access-date&gt;May 2015&lt;/access-date&gt;&lt;/record&gt;&lt;/Cite&gt;&lt;/EndNote&gt;</w:instrText>
      </w:r>
      <w:r w:rsidRPr="000B6AA8">
        <w:rPr>
          <w:rFonts w:ascii="Times New Roman" w:hAnsi="Times New Roman"/>
          <w:sz w:val="24"/>
          <w:szCs w:val="24"/>
        </w:rPr>
        <w:fldChar w:fldCharType="separate"/>
      </w:r>
      <w:r w:rsidRPr="000B6AA8">
        <w:rPr>
          <w:rFonts w:ascii="Times New Roman" w:hAnsi="Times New Roman"/>
          <w:noProof/>
          <w:sz w:val="24"/>
          <w:szCs w:val="24"/>
        </w:rPr>
        <w:t>(21)</w:t>
      </w:r>
      <w:r w:rsidRPr="000B6AA8">
        <w:rPr>
          <w:rFonts w:ascii="Times New Roman" w:hAnsi="Times New Roman"/>
          <w:sz w:val="24"/>
          <w:szCs w:val="24"/>
        </w:rPr>
        <w:fldChar w:fldCharType="end"/>
      </w:r>
      <w:r w:rsidRPr="000B6AA8">
        <w:rPr>
          <w:rFonts w:ascii="Times New Roman" w:hAnsi="Times New Roman"/>
          <w:sz w:val="24"/>
          <w:szCs w:val="24"/>
        </w:rPr>
        <w:t>. Children with a BMI in the 5</w:t>
      </w:r>
      <w:r w:rsidRPr="000B6AA8">
        <w:rPr>
          <w:rFonts w:ascii="Times New Roman" w:hAnsi="Times New Roman"/>
          <w:sz w:val="24"/>
          <w:szCs w:val="24"/>
          <w:vertAlign w:val="superscript"/>
        </w:rPr>
        <w:t>th</w:t>
      </w:r>
      <w:r w:rsidRPr="000B6AA8">
        <w:rPr>
          <w:rFonts w:ascii="Times New Roman" w:hAnsi="Times New Roman"/>
          <w:sz w:val="24"/>
          <w:szCs w:val="24"/>
        </w:rPr>
        <w:t xml:space="preserve"> percentile or less were classified as underweight, children with a BMI in the 5</w:t>
      </w:r>
      <w:r w:rsidRPr="000B6AA8">
        <w:rPr>
          <w:rFonts w:ascii="Times New Roman" w:hAnsi="Times New Roman"/>
          <w:sz w:val="24"/>
          <w:szCs w:val="24"/>
          <w:vertAlign w:val="superscript"/>
        </w:rPr>
        <w:t>th</w:t>
      </w:r>
      <w:r w:rsidRPr="000B6AA8">
        <w:rPr>
          <w:rFonts w:ascii="Times New Roman" w:hAnsi="Times New Roman"/>
          <w:sz w:val="24"/>
          <w:szCs w:val="24"/>
        </w:rPr>
        <w:t>-85</w:t>
      </w:r>
      <w:r w:rsidRPr="000B6AA8">
        <w:rPr>
          <w:rFonts w:ascii="Times New Roman" w:hAnsi="Times New Roman"/>
          <w:sz w:val="24"/>
          <w:szCs w:val="24"/>
          <w:vertAlign w:val="superscript"/>
        </w:rPr>
        <w:t>th</w:t>
      </w:r>
      <w:r w:rsidRPr="000B6AA8">
        <w:rPr>
          <w:rFonts w:ascii="Times New Roman" w:hAnsi="Times New Roman"/>
          <w:sz w:val="24"/>
          <w:szCs w:val="24"/>
        </w:rPr>
        <w:t xml:space="preserve"> percentile were classified as normal, and children with a BMI in the 85</w:t>
      </w:r>
      <w:r w:rsidRPr="000B6AA8">
        <w:rPr>
          <w:rFonts w:ascii="Times New Roman" w:hAnsi="Times New Roman"/>
          <w:sz w:val="24"/>
          <w:szCs w:val="24"/>
          <w:vertAlign w:val="superscript"/>
        </w:rPr>
        <w:t>th</w:t>
      </w:r>
      <w:r w:rsidRPr="000B6AA8">
        <w:rPr>
          <w:rFonts w:ascii="Times New Roman" w:hAnsi="Times New Roman"/>
          <w:sz w:val="24"/>
          <w:szCs w:val="24"/>
        </w:rPr>
        <w:t xml:space="preserve"> percentile or greater were classified as overweight or obese according to CDC classifications</w:t>
      </w:r>
      <w:r w:rsidRPr="000B6AA8">
        <w:rPr>
          <w:rFonts w:ascii="Times New Roman" w:hAnsi="Times New Roman"/>
          <w:sz w:val="24"/>
          <w:szCs w:val="24"/>
        </w:rPr>
        <w:fldChar w:fldCharType="begin"/>
      </w:r>
      <w:r w:rsidRPr="000B6AA8">
        <w:rPr>
          <w:rFonts w:ascii="Times New Roman" w:hAnsi="Times New Roman"/>
          <w:sz w:val="24"/>
          <w:szCs w:val="24"/>
        </w:rPr>
        <w:instrText xml:space="preserve"> ADDIN EN.CITE &lt;EndNote&gt;&lt;Cite&gt;&lt;Author&gt;Barlow&lt;/Author&gt;&lt;Year&gt;2007&lt;/Year&gt;&lt;RecNum&gt;30&lt;/RecNum&gt;&lt;DisplayText&gt;(22)&lt;/DisplayText&gt;&lt;record&gt;&lt;rec-number&gt;30&lt;/rec-number&gt;&lt;foreign-keys&gt;&lt;key app="EN" db-id="r9v2apv9uf52xoedpfsp2zss2pr9x59sfaez" timestamp="1433349908"&gt;30&lt;/key&gt;&lt;/foreign-keys&gt;&lt;ref-type name="Journal Article"&gt;17&lt;/ref-type&gt;&lt;contributors&gt;&lt;authors&gt;&lt;author&gt;Barlow, S. E.&lt;/author&gt;&lt;author&gt;Expert, Committee&lt;/author&gt;&lt;/authors&gt;&lt;/contributors&gt;&lt;auth-address&gt;Division of Pediatric Gastroenterology, Nutrition, and Hepatology, Department of Pediatrics, Baylor College of Medicine, Texas Children&amp;apos;s Hospital, Houston, Texas 77030, USA. sbarlow@bcm.tmc.edu&lt;/auth-address&gt;&lt;titles&gt;&lt;title&gt;Expert committee recommendations regarding the prevention, assessment, and treatment of child and adolescent overweight and obesity: summary report&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S164-92&lt;/pages&gt;&lt;volume&gt;120 Suppl 4&lt;/volume&gt;&lt;keywords&gt;&lt;keyword&gt;Adolescent&lt;/keyword&gt;&lt;keyword&gt;Advisory Committees/*standards&lt;/keyword&gt;&lt;keyword&gt;Child&lt;/keyword&gt;&lt;keyword&gt;*Health Planning Guidelines&lt;/keyword&gt;&lt;keyword&gt;Humans&lt;/keyword&gt;&lt;keyword&gt;Obesity/*diagnosis/*prevention &amp;amp; control/therapy&lt;/keyword&gt;&lt;keyword&gt;Overweight/diagnosis/prevention &amp;amp; control/therapy&lt;/keyword&gt;&lt;keyword&gt;Research/*standards&lt;/keyword&gt;&lt;/keywords&gt;&lt;dates&gt;&lt;year&gt;2007&lt;/year&gt;&lt;pub-dates&gt;&lt;date&gt;Dec&lt;/date&gt;&lt;/pub-dates&gt;&lt;/dates&gt;&lt;isbn&gt;1098-4275 (Electronic)&amp;#xD;0031-4005 (Linking)&lt;/isbn&gt;&lt;accession-num&gt;18055651&lt;/accession-num&gt;&lt;urls&gt;&lt;related-urls&gt;&lt;url&gt;http://www.ncbi.nlm.nih.gov/pubmed/18055651&lt;/url&gt;&lt;/related-urls&gt;&lt;/urls&gt;&lt;electronic-resource-num&gt;10.1542/peds.2007-2329C&lt;/electronic-resource-num&gt;&lt;/record&gt;&lt;/Cite&gt;&lt;/EndNote&gt;</w:instrText>
      </w:r>
      <w:r w:rsidRPr="000B6AA8">
        <w:rPr>
          <w:rFonts w:ascii="Times New Roman" w:hAnsi="Times New Roman"/>
          <w:sz w:val="24"/>
          <w:szCs w:val="24"/>
        </w:rPr>
        <w:fldChar w:fldCharType="separate"/>
      </w:r>
      <w:r w:rsidRPr="000B6AA8">
        <w:rPr>
          <w:rFonts w:ascii="Times New Roman" w:hAnsi="Times New Roman"/>
          <w:noProof/>
          <w:sz w:val="24"/>
          <w:szCs w:val="24"/>
        </w:rPr>
        <w:t>(22)</w:t>
      </w:r>
      <w:r w:rsidRPr="000B6AA8">
        <w:rPr>
          <w:rFonts w:ascii="Times New Roman" w:hAnsi="Times New Roman"/>
          <w:sz w:val="24"/>
          <w:szCs w:val="24"/>
        </w:rPr>
        <w:fldChar w:fldCharType="end"/>
      </w:r>
      <w:r w:rsidRPr="000B6AA8">
        <w:rPr>
          <w:rFonts w:ascii="Times New Roman" w:hAnsi="Times New Roman"/>
          <w:sz w:val="24"/>
          <w:szCs w:val="24"/>
        </w:rPr>
        <w:t xml:space="preserve">. BMI classification was used to create several binary variables for this analysis, specifically underweight versus not underweight, overweight versus not overweight, obese versus not obese, and abnormal BMI (underweight or overweight) versus normal BMI. The spinal deformity etiology was categorized into neuromuscular, syndromic, congenital, or idiopathic as per c-EOS classification.  The neuromuscular etiology was further classified into binary variables based on the presence versus absence of cerebral palsy (CP), spinal muscular atrophy (SMA), or myelomeningocele. Ambulatory status was defined as ambulatory (including patients who required an assistive device) versus non-ambulatory. The continuous variable of degrees of the major curve was converted to a binary variable of Cobb ≥90 degrees versus &lt;90 degrees based on a clinically meaningful value. Kyphosis was categorized into normal versus abnormal (hypokyphosis or hyperkyphosis). Comorbidities and other medical or surgical record data (assistive device use, fused ribs) were tallied as either present or absent in binary form. Instrumentation was divided into either fusion or </w:t>
      </w:r>
      <w:r w:rsidR="00AD2172">
        <w:rPr>
          <w:rFonts w:ascii="Times New Roman" w:hAnsi="Times New Roman"/>
          <w:sz w:val="24"/>
          <w:szCs w:val="24"/>
        </w:rPr>
        <w:t>initial</w:t>
      </w:r>
      <w:r w:rsidRPr="000B6AA8">
        <w:rPr>
          <w:rFonts w:ascii="Times New Roman" w:hAnsi="Times New Roman"/>
          <w:sz w:val="24"/>
          <w:szCs w:val="24"/>
        </w:rPr>
        <w:t xml:space="preserve"> growing </w:t>
      </w:r>
      <w:r w:rsidR="00AD2172">
        <w:rPr>
          <w:rFonts w:ascii="Times New Roman" w:hAnsi="Times New Roman"/>
          <w:sz w:val="24"/>
          <w:szCs w:val="24"/>
        </w:rPr>
        <w:t>implantation</w:t>
      </w:r>
      <w:r w:rsidRPr="000B6AA8">
        <w:rPr>
          <w:rFonts w:ascii="Times New Roman" w:hAnsi="Times New Roman"/>
          <w:sz w:val="24"/>
          <w:szCs w:val="24"/>
        </w:rPr>
        <w:t xml:space="preserve"> and made binary by that categorization.</w:t>
      </w:r>
    </w:p>
    <w:p w14:paraId="417476F4" w14:textId="77777777" w:rsidR="00807181" w:rsidRPr="000B6AA8" w:rsidRDefault="00807181">
      <w:pPr>
        <w:rPr>
          <w:rFonts w:ascii="Times New Roman" w:hAnsi="Times New Roman" w:cs="Times New Roman"/>
        </w:rPr>
      </w:pPr>
    </w:p>
    <w:p w14:paraId="2C043839" w14:textId="77777777" w:rsidR="004E5BC2" w:rsidRPr="000B6AA8" w:rsidRDefault="004E5BC2" w:rsidP="004E5BC2">
      <w:pPr>
        <w:pStyle w:val="MediumGrid21"/>
        <w:outlineLvl w:val="0"/>
        <w:rPr>
          <w:rFonts w:ascii="Times New Roman" w:hAnsi="Times New Roman"/>
          <w:b/>
          <w:i/>
          <w:sz w:val="24"/>
          <w:szCs w:val="24"/>
        </w:rPr>
      </w:pPr>
      <w:r w:rsidRPr="000B6AA8">
        <w:rPr>
          <w:rFonts w:ascii="Times New Roman" w:hAnsi="Times New Roman"/>
          <w:b/>
          <w:i/>
          <w:sz w:val="24"/>
          <w:szCs w:val="24"/>
        </w:rPr>
        <w:t xml:space="preserve">Surgical Site Infections </w:t>
      </w:r>
    </w:p>
    <w:p w14:paraId="0FC9822D" w14:textId="08EFC0EA" w:rsidR="004E5BC2" w:rsidRPr="000944B4" w:rsidRDefault="000944B4" w:rsidP="000944B4">
      <w:pPr>
        <w:pStyle w:val="MediumGrid21"/>
        <w:ind w:firstLine="720"/>
        <w:rPr>
          <w:rFonts w:ascii="Times New Roman" w:hAnsi="Times New Roman"/>
          <w:sz w:val="24"/>
          <w:szCs w:val="24"/>
        </w:rPr>
      </w:pPr>
      <w:r w:rsidRPr="000B6AA8">
        <w:rPr>
          <w:rFonts w:ascii="Times New Roman" w:hAnsi="Times New Roman"/>
          <w:sz w:val="24"/>
          <w:szCs w:val="24"/>
        </w:rPr>
        <w:t>SSI was defined according to the Center for Disease Control and Prevention (CDC) definitions of superficial and deep SSI published in 2015</w:t>
      </w:r>
      <w:r>
        <w:rPr>
          <w:rFonts w:ascii="Times New Roman" w:hAnsi="Times New Roman"/>
          <w:sz w:val="24"/>
          <w:szCs w:val="24"/>
        </w:rPr>
        <w:fldChar w:fldCharType="begin" w:fldLock="1"/>
      </w:r>
      <w:r w:rsidR="0080515B">
        <w:rPr>
          <w:rFonts w:ascii="Times New Roman" w:hAnsi="Times New Roman"/>
          <w:sz w:val="24"/>
          <w:szCs w:val="24"/>
        </w:rPr>
        <w:instrText>ADDIN CSL_CITATION { "citationItems" : [ { "id" : "ITEM-1", "itemData" : { "ISSN" : "0899-823X", "PMID" : "1334988", "author" : [ { "dropping-particle" : "", "family" : "Horan", "given" : "T C", "non-dropping-particle" : "", "parse-names" : false, "suffix" : "" }, { "dropping-particle" : "", "family" : "Gaynes", "given" : "R P", "non-dropping-particle" : "", "parse-names" : false, "suffix" : "" }, { "dropping-particle" : "", "family" : "Martone", "given" : "W J", "non-dropping-particle" : "", "parse-names" : false, "suffix" : "" }, { "dropping-particle" : "", "family" : "Jarvis", "given" : "W R", "non-dropping-particle" : "", "parse-names" : false, "suffix" : "" }, { "dropping-particle" : "", "family" : "Emori", "given" : "T G", "non-dropping-particle" : "", "parse-names" : false, "suffix" : "" } ], "container-title" : "Infection control and hospital epidemiology : the official journal of the Society of Hospital Epidemiologists of America", "id" : "ITEM-1", "issue" : "10", "issued" : { "date-parts" : [ [ "1992", "10" ] ] }, "page" : "606-8", "title" : "CDC definitions of nosocomial surgical site infections, 1992: a modification of CDC definitions of surgical wound infections.", "type" : "article-journal", "volume" : "13" }, "uris" : [ "http://www.mendeley.com/documents/?uuid=d8d0968c-b73f-43cb-8d79-72a2af4ac4df" ] }, { "id" : "ITEM-2", "itemData" : { "ISBN" : "1527-3296 (Electronic) 0196-6553 (Linking)", "author" : [ { "dropping-particle" : "", "family" : "Horan", "given" : "Tc", "non-dropping-particle" : "", "parse-names" : false, "suffix" : "" }, { "dropping-particle" : "", "family" : "Andrus", "given" : "M", "non-dropping-particle" : "", "parse-names" : false, "suffix" : "" }, { "dropping-particle" : "", "family" : "Dudeck", "given" : "Ma", "non-dropping-particle" : "", "parse-names" : false, "suffix" : "" } ], "container-title" : "AM J Infec control", "id" : "ITEM-2", "issue" : "5", "issued" : { "date-parts" : [ [ "2008" ] ] }, "note" : "Jun", "page" : "309-332", "publisher-place" : "National Healthcare Safety Network, Division of Healthcare Quality Promotion, Centers for Disease Control and Prevention, Atlanta, GA 30333, USA. thoran@cdc.gov", "title" : "CDC/NHSN survillance definition of helth care-associated infection and criteria for especific types of infectionin the acute care setting", "type" : "article-journal", "volume" : "36" }, "uris" : [ "http://www.mendeley.com/documents/?uuid=62e6ce57-d877-486d-8040-d8b5ad3a3cdd" ] } ], "mendeley" : { "formattedCitation" : "&lt;sup&gt;24,25&lt;/sup&gt;", "plainTextFormattedCitation" : "24,25", "previouslyFormattedCitation" : "&lt;sup&gt;25,26&lt;/sup&gt;" }, "properties" : { "noteIndex" : 0 }, "schema" : "https://github.com/citation-style-language/schema/raw/master/csl-citation.json" }</w:instrText>
      </w:r>
      <w:r>
        <w:rPr>
          <w:rFonts w:ascii="Times New Roman" w:hAnsi="Times New Roman"/>
          <w:sz w:val="24"/>
          <w:szCs w:val="24"/>
        </w:rPr>
        <w:fldChar w:fldCharType="separate"/>
      </w:r>
      <w:r w:rsidR="0080515B" w:rsidRPr="0080515B">
        <w:rPr>
          <w:rFonts w:ascii="Times New Roman" w:hAnsi="Times New Roman"/>
          <w:noProof/>
          <w:sz w:val="24"/>
          <w:szCs w:val="24"/>
          <w:vertAlign w:val="superscript"/>
        </w:rPr>
        <w:t>24,25</w:t>
      </w:r>
      <w:r>
        <w:rPr>
          <w:rFonts w:ascii="Times New Roman" w:hAnsi="Times New Roman"/>
          <w:sz w:val="24"/>
          <w:szCs w:val="24"/>
        </w:rPr>
        <w:fldChar w:fldCharType="end"/>
      </w:r>
      <w:r w:rsidRPr="000B6AA8">
        <w:rPr>
          <w:rFonts w:ascii="Times New Roman" w:hAnsi="Times New Roman"/>
          <w:sz w:val="24"/>
          <w:szCs w:val="24"/>
        </w:rPr>
        <w:fldChar w:fldCharType="begin">
          <w:fldData xml:space="preserve">PEVuZE5vdGU+PENpdGU+PEF1dGhvcj5Ib3JhbjwvQXV0aG9yPjxZZWFyPjE5OTI8L1llYXI+PFJl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</w:fldData>
        </w:fldChar>
      </w:r>
      <w:r w:rsidRPr="002E0F4E">
        <w:rPr>
          <w:rFonts w:ascii="Times New Roman" w:hAnsi="Times New Roman"/>
          <w:sz w:val="24"/>
          <w:szCs w:val="24"/>
        </w:rPr>
        <w:instrText xml:space="preserve"> ADDIN EN.CITE </w:instrText>
      </w:r>
      <w:r w:rsidRPr="002E0F4E">
        <w:rPr>
          <w:rFonts w:ascii="Times New Roman" w:hAnsi="Times New Roman"/>
          <w:sz w:val="24"/>
          <w:szCs w:val="24"/>
        </w:rPr>
        <w:fldChar w:fldCharType="begin">
          <w:fldData xml:space="preserve">PEVuZE5vdGU+PENpdGU+PEF1dGhvcj5Ib3JhbjwvQXV0aG9yPjxZZWFyPjE5OTI8L1llYXI+PFJl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</w:fldData>
        </w:fldChar>
      </w:r>
      <w:r w:rsidRPr="002E0F4E">
        <w:rPr>
          <w:rFonts w:ascii="Times New Roman" w:hAnsi="Times New Roman"/>
          <w:sz w:val="24"/>
          <w:szCs w:val="24"/>
        </w:rPr>
        <w:instrText xml:space="preserve"> ADDIN EN.CITE.DATA </w:instrText>
      </w:r>
      <w:r w:rsidRPr="002E0F4E">
        <w:rPr>
          <w:rFonts w:ascii="Times New Roman" w:hAnsi="Times New Roman"/>
          <w:sz w:val="24"/>
          <w:szCs w:val="24"/>
        </w:rPr>
      </w:r>
      <w:r w:rsidRPr="002E0F4E">
        <w:rPr>
          <w:rFonts w:ascii="Times New Roman" w:hAnsi="Times New Roman"/>
          <w:sz w:val="24"/>
          <w:szCs w:val="24"/>
        </w:rPr>
        <w:fldChar w:fldCharType="end"/>
      </w:r>
      <w:r w:rsidRPr="000B6AA8">
        <w:rPr>
          <w:rFonts w:ascii="Times New Roman" w:hAnsi="Times New Roman"/>
          <w:sz w:val="24"/>
          <w:szCs w:val="24"/>
        </w:rPr>
      </w:r>
      <w:r w:rsidRPr="000B6AA8">
        <w:rPr>
          <w:rFonts w:ascii="Times New Roman" w:hAnsi="Times New Roman"/>
          <w:sz w:val="24"/>
          <w:szCs w:val="24"/>
        </w:rPr>
        <w:fldChar w:fldCharType="end"/>
      </w:r>
      <w:r w:rsidRPr="000B6AA8">
        <w:rPr>
          <w:rFonts w:ascii="Times New Roman" w:hAnsi="Times New Roman"/>
          <w:sz w:val="24"/>
          <w:szCs w:val="24"/>
        </w:rPr>
        <w:t xml:space="preserve">. Superficial SSI occurs within 30 days after the procedure and involves only the skin or subcutaneous tissue of the incision. A deep SSI occurs within 90 days after surgery if an implant remains in place and involves the fascial and muscle layers deep to the subcutaneous layer of the incision. The diagnosis of both types of SSI is made either clinically by the surgeon using signs such as purulent drainage, erythema, pain or tenderness and erythema or by pathogen isolation from an aseptically obtained wound specimen. </w:t>
      </w:r>
    </w:p>
    <w:p w14:paraId="74C78348" w14:textId="77777777" w:rsidR="000944B4" w:rsidRPr="000B6AA8" w:rsidRDefault="000944B4">
      <w:pPr>
        <w:rPr>
          <w:rFonts w:ascii="Times New Roman" w:hAnsi="Times New Roman" w:cs="Times New Roman"/>
        </w:rPr>
      </w:pPr>
    </w:p>
    <w:p w14:paraId="4093C201" w14:textId="77777777" w:rsidR="00A27CB7" w:rsidRPr="000B6AA8" w:rsidRDefault="00A27CB7">
      <w:pPr>
        <w:rPr>
          <w:rFonts w:ascii="Times New Roman" w:hAnsi="Times New Roman" w:cs="Times New Roman"/>
          <w:b/>
          <w:i/>
        </w:rPr>
      </w:pPr>
      <w:r w:rsidRPr="000B6AA8">
        <w:rPr>
          <w:rFonts w:ascii="Times New Roman" w:hAnsi="Times New Roman" w:cs="Times New Roman"/>
          <w:b/>
          <w:i/>
        </w:rPr>
        <w:t>Statistical Methods</w:t>
      </w:r>
    </w:p>
    <w:p w14:paraId="7F86690A" w14:textId="112EBDBF" w:rsidR="00A27CB7" w:rsidRPr="000B6AA8" w:rsidRDefault="00A27CB7">
      <w:pPr>
        <w:rPr>
          <w:rFonts w:ascii="Times New Roman" w:hAnsi="Times New Roman" w:cs="Times New Roman"/>
          <w:lang w:eastAsia="ja-JP"/>
        </w:rPr>
      </w:pPr>
      <w:r w:rsidRPr="000B6AA8">
        <w:rPr>
          <w:rFonts w:ascii="Times New Roman" w:hAnsi="Times New Roman" w:cs="Times New Roman"/>
          <w:b/>
          <w:i/>
        </w:rPr>
        <w:tab/>
      </w:r>
      <w:r w:rsidR="003C5560" w:rsidRPr="000B6AA8">
        <w:rPr>
          <w:rFonts w:ascii="Times New Roman" w:hAnsi="Times New Roman" w:cs="Times New Roman"/>
        </w:rPr>
        <w:t xml:space="preserve">Differences in patient demographics and preoperative characteristics between patients who developed a SSI and patients who did not were examined by </w:t>
      </w:r>
      <w:r w:rsidR="003C5560" w:rsidRPr="000B6AA8">
        <w:rPr>
          <w:rFonts w:ascii="Times New Roman" w:hAnsi="Times New Roman" w:cs="Times New Roman"/>
        </w:rPr>
        <w:sym w:font="Symbol" w:char="F063"/>
      </w:r>
      <w:r w:rsidR="003C5560" w:rsidRPr="000B6AA8">
        <w:rPr>
          <w:rFonts w:ascii="Times New Roman" w:hAnsi="Times New Roman" w:cs="Times New Roman"/>
          <w:vertAlign w:val="superscript"/>
        </w:rPr>
        <w:t>2</w:t>
      </w:r>
      <w:r w:rsidR="003C5560" w:rsidRPr="000B6AA8">
        <w:rPr>
          <w:rFonts w:ascii="Times New Roman" w:hAnsi="Times New Roman" w:cs="Times New Roman"/>
        </w:rPr>
        <w:t xml:space="preserve"> tests. The variables with clinical importance and a trend toward significant association with SSI (p≤0.25) in simple regression analysis were then entered into a multiple logistic regression model. Model performance was evaluated using the c-statistic and the Hosmer-Lemeshow </w:t>
      </w:r>
      <w:r w:rsidR="00A13A64" w:rsidRPr="000B6AA8">
        <w:rPr>
          <w:rFonts w:ascii="Times New Roman" w:hAnsi="Times New Roman" w:cs="Times New Roman"/>
        </w:rPr>
        <w:t xml:space="preserve">(HL) </w:t>
      </w:r>
      <w:r w:rsidR="003C5560" w:rsidRPr="000B6AA8">
        <w:rPr>
          <w:rFonts w:ascii="Times New Roman" w:hAnsi="Times New Roman" w:cs="Times New Roman"/>
        </w:rPr>
        <w:t xml:space="preserve">statistic. </w:t>
      </w:r>
      <w:r w:rsidR="003B0126" w:rsidRPr="000B6AA8">
        <w:rPr>
          <w:rFonts w:ascii="Times New Roman" w:hAnsi="Times New Roman" w:cs="Times New Roman"/>
          <w:lang w:eastAsia="ja-JP"/>
        </w:rPr>
        <w:t xml:space="preserve">The c-statistic, also referred to as the area under the receiver operating characteristic </w:t>
      </w:r>
      <w:r w:rsidR="00A13A64" w:rsidRPr="000B6AA8">
        <w:rPr>
          <w:rFonts w:ascii="Times New Roman" w:hAnsi="Times New Roman" w:cs="Times New Roman"/>
          <w:lang w:eastAsia="ja-JP"/>
        </w:rPr>
        <w:t xml:space="preserve">(ROC) </w:t>
      </w:r>
      <w:r w:rsidR="003B0126" w:rsidRPr="000B6AA8">
        <w:rPr>
          <w:rFonts w:ascii="Times New Roman" w:hAnsi="Times New Roman" w:cs="Times New Roman"/>
          <w:lang w:eastAsia="ja-JP"/>
        </w:rPr>
        <w:t xml:space="preserve">curve (the plot of sensitivity </w:t>
      </w:r>
      <w:r w:rsidR="00A13A64" w:rsidRPr="000B6AA8">
        <w:rPr>
          <w:rFonts w:ascii="Times New Roman" w:hAnsi="Times New Roman" w:cs="Times New Roman"/>
          <w:lang w:eastAsia="ja-JP"/>
        </w:rPr>
        <w:t xml:space="preserve">and 1-specificity), indicates how well the model does in predicting the binary </w:t>
      </w:r>
      <w:r w:rsidR="00A13A64" w:rsidRPr="000B6AA8">
        <w:rPr>
          <w:rFonts w:ascii="Times New Roman" w:hAnsi="Times New Roman" w:cs="Times New Roman"/>
          <w:lang w:eastAsia="ja-JP"/>
        </w:rPr>
        <w:lastRenderedPageBreak/>
        <w:t>response such as SSI outcome (presence or absence of SSI) and takes values from 0.5 to 1.0, with 0.5 being no better than chance and 1.0 being perfect prediction. In general, models with a c-statistic greater t</w:t>
      </w:r>
      <w:r w:rsidR="001757C6">
        <w:rPr>
          <w:rFonts w:ascii="Times New Roman" w:hAnsi="Times New Roman" w:cs="Times New Roman"/>
          <w:lang w:eastAsia="ja-JP"/>
        </w:rPr>
        <w:t>h</w:t>
      </w:r>
      <w:r w:rsidR="00A13A64" w:rsidRPr="000B6AA8">
        <w:rPr>
          <w:rFonts w:ascii="Times New Roman" w:hAnsi="Times New Roman" w:cs="Times New Roman"/>
          <w:lang w:eastAsia="ja-JP"/>
        </w:rPr>
        <w:t xml:space="preserve">an 0.7 are considered </w:t>
      </w:r>
      <w:r w:rsidR="001757C6">
        <w:rPr>
          <w:rFonts w:ascii="Times New Roman" w:hAnsi="Times New Roman" w:cs="Times New Roman"/>
          <w:lang w:eastAsia="ja-JP"/>
        </w:rPr>
        <w:t xml:space="preserve">to be </w:t>
      </w:r>
      <w:r w:rsidR="00A13A64" w:rsidRPr="000B6AA8">
        <w:rPr>
          <w:rFonts w:ascii="Times New Roman" w:hAnsi="Times New Roman" w:cs="Times New Roman"/>
          <w:lang w:eastAsia="ja-JP"/>
        </w:rPr>
        <w:t>good</w:t>
      </w:r>
      <w:r w:rsidR="001757C6">
        <w:rPr>
          <w:rFonts w:ascii="Times New Roman" w:hAnsi="Times New Roman" w:cs="Times New Roman"/>
          <w:lang w:eastAsia="ja-JP"/>
        </w:rPr>
        <w:t xml:space="preserve"> models</w:t>
      </w:r>
      <w:r w:rsidR="00A13A64" w:rsidRPr="000B6AA8">
        <w:rPr>
          <w:rFonts w:ascii="Times New Roman" w:hAnsi="Times New Roman" w:cs="Times New Roman"/>
          <w:lang w:eastAsia="ja-JP"/>
        </w:rPr>
        <w:t>. Although useful, c-statistic alone is not the best in evaluating model performance, as it does not directly assess the accuracy of the prediction and it struggles when a population is homogenous. Therefore, the HL statistic was used to measure calibration</w:t>
      </w:r>
      <w:r w:rsidR="00272BB9">
        <w:rPr>
          <w:rFonts w:ascii="Times New Roman" w:hAnsi="Times New Roman" w:cs="Times New Roman"/>
          <w:lang w:eastAsia="ja-JP"/>
        </w:rPr>
        <w:t>,</w:t>
      </w:r>
      <w:r w:rsidR="00A13A64" w:rsidRPr="000B6AA8">
        <w:rPr>
          <w:rFonts w:ascii="Times New Roman" w:hAnsi="Times New Roman" w:cs="Times New Roman"/>
          <w:lang w:eastAsia="ja-JP"/>
        </w:rPr>
        <w:t xml:space="preserve"> detecting bias in predicting risk over the range of risk. The data are ordered by predicted risk and then divided into risk groups of equal size.  The HL statistic will be statistically significant (p&lt;0.05) if there is a tendency for the model to overestimate or underestimate risk based on the risk group. </w:t>
      </w:r>
      <w:r w:rsidR="00272BB9">
        <w:rPr>
          <w:rFonts w:ascii="Times New Roman" w:hAnsi="Times New Roman" w:cs="Times New Roman"/>
          <w:lang w:eastAsia="ja-JP"/>
        </w:rPr>
        <w:t xml:space="preserve">Thus, a good model which neither overestimates or underestimates the data generates a “non-significant” p-value. </w:t>
      </w:r>
      <w:r w:rsidR="00A13A64" w:rsidRPr="000B6AA8">
        <w:rPr>
          <w:rFonts w:ascii="Times New Roman" w:hAnsi="Times New Roman" w:cs="Times New Roman"/>
          <w:lang w:eastAsia="ja-JP"/>
        </w:rPr>
        <w:t xml:space="preserve">Since the HL statistic varies based on the number of groups the data are divided into and finds smaller deviations to be statistically significant when the sample size becomes large, </w:t>
      </w:r>
      <w:r w:rsidR="002E665B" w:rsidRPr="000B6AA8">
        <w:rPr>
          <w:rFonts w:ascii="Times New Roman" w:hAnsi="Times New Roman" w:cs="Times New Roman"/>
          <w:lang w:eastAsia="ja-JP"/>
        </w:rPr>
        <w:t xml:space="preserve">graphic representation fit are also presented in which the mean predicted probability is plotted against the mean observed probability for each of the risk groups. </w:t>
      </w:r>
    </w:p>
    <w:p w14:paraId="6278AC2D" w14:textId="77777777" w:rsidR="005701B5" w:rsidRPr="000B6AA8" w:rsidRDefault="005701B5">
      <w:pPr>
        <w:rPr>
          <w:rFonts w:ascii="Times New Roman" w:hAnsi="Times New Roman" w:cs="Times New Roman"/>
          <w:b/>
          <w:lang w:eastAsia="ja-JP"/>
        </w:rPr>
      </w:pPr>
    </w:p>
    <w:p w14:paraId="4A722AD1" w14:textId="77777777" w:rsidR="005701B5" w:rsidRPr="000B6AA8" w:rsidRDefault="005701B5">
      <w:pPr>
        <w:rPr>
          <w:rFonts w:ascii="Times New Roman" w:hAnsi="Times New Roman" w:cs="Times New Roman"/>
          <w:b/>
          <w:lang w:eastAsia="ja-JP"/>
        </w:rPr>
      </w:pPr>
      <w:r w:rsidRPr="000B6AA8">
        <w:rPr>
          <w:rFonts w:ascii="Times New Roman" w:hAnsi="Times New Roman" w:cs="Times New Roman"/>
          <w:b/>
          <w:lang w:eastAsia="ja-JP"/>
        </w:rPr>
        <w:t>RESULTS:</w:t>
      </w:r>
    </w:p>
    <w:p w14:paraId="18E1600E" w14:textId="77777777" w:rsidR="00B01CEE" w:rsidRPr="000B6AA8" w:rsidRDefault="00B01CEE">
      <w:pPr>
        <w:rPr>
          <w:rFonts w:ascii="Times New Roman" w:hAnsi="Times New Roman" w:cs="Times New Roman"/>
          <w:b/>
          <w:lang w:eastAsia="ja-JP"/>
        </w:rPr>
      </w:pPr>
    </w:p>
    <w:p w14:paraId="192EC18B" w14:textId="411C845F" w:rsidR="00B01CEE" w:rsidRPr="000B6AA8" w:rsidRDefault="00B01CEE">
      <w:pPr>
        <w:rPr>
          <w:rFonts w:ascii="Times New Roman" w:hAnsi="Times New Roman" w:cs="Times New Roman"/>
          <w:b/>
          <w:i/>
          <w:lang w:eastAsia="ja-JP"/>
        </w:rPr>
      </w:pPr>
      <w:r w:rsidRPr="000B6AA8">
        <w:rPr>
          <w:rFonts w:ascii="Times New Roman" w:hAnsi="Times New Roman" w:cs="Times New Roman"/>
          <w:b/>
          <w:i/>
          <w:lang w:eastAsia="ja-JP"/>
        </w:rPr>
        <w:t>Patie</w:t>
      </w:r>
      <w:r w:rsidR="00441527">
        <w:rPr>
          <w:rFonts w:ascii="Times New Roman" w:hAnsi="Times New Roman" w:cs="Times New Roman"/>
          <w:b/>
          <w:i/>
          <w:lang w:eastAsia="ja-JP"/>
        </w:rPr>
        <w:t xml:space="preserve">nt </w:t>
      </w:r>
      <w:r w:rsidR="0013760A">
        <w:rPr>
          <w:rFonts w:ascii="Times New Roman" w:hAnsi="Times New Roman" w:cs="Times New Roman"/>
          <w:b/>
          <w:i/>
          <w:lang w:eastAsia="ja-JP"/>
        </w:rPr>
        <w:t>Characteris</w:t>
      </w:r>
      <w:r w:rsidRPr="000B6AA8">
        <w:rPr>
          <w:rFonts w:ascii="Times New Roman" w:hAnsi="Times New Roman" w:cs="Times New Roman"/>
          <w:b/>
          <w:i/>
          <w:lang w:eastAsia="ja-JP"/>
        </w:rPr>
        <w:t>t</w:t>
      </w:r>
      <w:r w:rsidR="0013760A">
        <w:rPr>
          <w:rFonts w:ascii="Times New Roman" w:hAnsi="Times New Roman" w:cs="Times New Roman"/>
          <w:b/>
          <w:i/>
          <w:lang w:eastAsia="ja-JP"/>
        </w:rPr>
        <w:t>i</w:t>
      </w:r>
      <w:r w:rsidRPr="000B6AA8">
        <w:rPr>
          <w:rFonts w:ascii="Times New Roman" w:hAnsi="Times New Roman" w:cs="Times New Roman"/>
          <w:b/>
          <w:i/>
          <w:lang w:eastAsia="ja-JP"/>
        </w:rPr>
        <w:t>cs</w:t>
      </w:r>
    </w:p>
    <w:p w14:paraId="3D542B53" w14:textId="7CB2F936" w:rsidR="005701B5" w:rsidRDefault="00B01CEE" w:rsidP="00554B06">
      <w:pPr>
        <w:rPr>
          <w:rFonts w:ascii="Times New Roman" w:hAnsi="Times New Roman" w:cs="Times New Roman"/>
        </w:rPr>
      </w:pPr>
      <w:r w:rsidRPr="000B6AA8">
        <w:rPr>
          <w:rFonts w:ascii="Times New Roman" w:hAnsi="Times New Roman" w:cs="Times New Roman"/>
          <w:lang w:eastAsia="ja-JP"/>
        </w:rPr>
        <w:tab/>
      </w:r>
      <w:r w:rsidR="003312D7">
        <w:rPr>
          <w:rFonts w:ascii="Times New Roman" w:hAnsi="Times New Roman" w:cs="Times New Roman"/>
        </w:rPr>
        <w:t>In total, 1,189</w:t>
      </w:r>
      <w:r w:rsidRPr="000B6AA8">
        <w:rPr>
          <w:rFonts w:ascii="Times New Roman" w:hAnsi="Times New Roman" w:cs="Times New Roman"/>
        </w:rPr>
        <w:t xml:space="preserve"> patients with EOS were identified in the registries meeting inclusion criteria. The average age at surgery was 7.7 </w:t>
      </w:r>
      <w:r w:rsidRPr="0006425D">
        <w:rPr>
          <w:rFonts w:ascii="Times New Roman" w:hAnsi="Times New Roman" w:cs="Times New Roman"/>
        </w:rPr>
        <w:t>years (</w:t>
      </w:r>
      <w:r w:rsidR="009E6C44" w:rsidRPr="0006425D">
        <w:rPr>
          <w:rFonts w:ascii="Times New Roman" w:hAnsi="Times New Roman" w:cs="Times New Roman"/>
        </w:rPr>
        <w:t>0.5-19.4 years, ± 3.31</w:t>
      </w:r>
      <w:r w:rsidRPr="0006425D">
        <w:rPr>
          <w:rFonts w:ascii="Times New Roman" w:hAnsi="Times New Roman" w:cs="Times New Roman"/>
        </w:rPr>
        <w:t>) and 57% of patie</w:t>
      </w:r>
      <w:r w:rsidR="00CE11E5">
        <w:rPr>
          <w:rFonts w:ascii="Times New Roman" w:hAnsi="Times New Roman" w:cs="Times New Roman"/>
        </w:rPr>
        <w:t xml:space="preserve">nts were female. Of </w:t>
      </w:r>
      <w:r w:rsidR="004B7501">
        <w:rPr>
          <w:rFonts w:ascii="Times New Roman" w:hAnsi="Times New Roman" w:cs="Times New Roman"/>
        </w:rPr>
        <w:t>the</w:t>
      </w:r>
      <w:r w:rsidR="003312D7">
        <w:rPr>
          <w:rFonts w:ascii="Times New Roman" w:hAnsi="Times New Roman" w:cs="Times New Roman"/>
        </w:rPr>
        <w:t xml:space="preserve"> 1,189</w:t>
      </w:r>
      <w:r w:rsidRPr="0006425D">
        <w:rPr>
          <w:rFonts w:ascii="Times New Roman" w:hAnsi="Times New Roman" w:cs="Times New Roman"/>
        </w:rPr>
        <w:t xml:space="preserve"> patients, 403 (34%) had neuromuscular, 289 (24%) had idiopathic, 255 (22%) had syndromic, and 242 had (20%) congenital etiologies.  </w:t>
      </w:r>
      <w:r w:rsidR="004B7501">
        <w:rPr>
          <w:rFonts w:ascii="Times New Roman" w:hAnsi="Times New Roman" w:cs="Times New Roman"/>
        </w:rPr>
        <w:t xml:space="preserve">Of those patients with neuromuscular etiologies, 74 (6.2%) had Spinal Muscular Atrophy (SMA), and 66 (5.6%) had Spina Bifida (including myelomengingocele). </w:t>
      </w:r>
      <w:r w:rsidRPr="0006425D">
        <w:rPr>
          <w:rFonts w:ascii="Times New Roman" w:hAnsi="Times New Roman" w:cs="Times New Roman"/>
        </w:rPr>
        <w:t xml:space="preserve">The average Cobb </w:t>
      </w:r>
      <w:r w:rsidR="007E603D" w:rsidRPr="0006425D">
        <w:rPr>
          <w:rFonts w:ascii="Times New Roman" w:hAnsi="Times New Roman" w:cs="Times New Roman"/>
        </w:rPr>
        <w:t>angle for the major curve</w:t>
      </w:r>
      <w:r w:rsidR="00CC1769" w:rsidRPr="0006425D">
        <w:rPr>
          <w:rFonts w:ascii="Times New Roman" w:hAnsi="Times New Roman" w:cs="Times New Roman"/>
        </w:rPr>
        <w:t xml:space="preserve"> at the time of exam</w:t>
      </w:r>
      <w:r w:rsidR="007E603D" w:rsidRPr="0006425D">
        <w:rPr>
          <w:rFonts w:ascii="Times New Roman" w:hAnsi="Times New Roman" w:cs="Times New Roman"/>
        </w:rPr>
        <w:t xml:space="preserve"> was 70</w:t>
      </w:r>
      <w:r w:rsidR="00CC1769" w:rsidRPr="0006425D">
        <w:rPr>
          <w:rFonts w:ascii="Times New Roman" w:hAnsi="Times New Roman" w:cs="Times New Roman"/>
        </w:rPr>
        <w:t xml:space="preserve"> degrees (range 0.3-154°, SD: 23</w:t>
      </w:r>
      <w:r w:rsidRPr="0006425D">
        <w:rPr>
          <w:rFonts w:ascii="Times New Roman" w:hAnsi="Times New Roman" w:cs="Times New Roman"/>
        </w:rPr>
        <w:t>°), and the average ma</w:t>
      </w:r>
      <w:r w:rsidR="00CC1769" w:rsidRPr="0006425D">
        <w:rPr>
          <w:rFonts w:ascii="Times New Roman" w:hAnsi="Times New Roman" w:cs="Times New Roman"/>
        </w:rPr>
        <w:t>ximum measurable kyphosis was 51 degrees (range: -116-18</w:t>
      </w:r>
      <w:r w:rsidRPr="0006425D">
        <w:rPr>
          <w:rFonts w:ascii="Times New Roman" w:hAnsi="Times New Roman" w:cs="Times New Roman"/>
        </w:rPr>
        <w:t>0°, SD: 2</w:t>
      </w:r>
      <w:r w:rsidR="00CC1769" w:rsidRPr="0006425D">
        <w:rPr>
          <w:rFonts w:ascii="Times New Roman" w:hAnsi="Times New Roman" w:cs="Times New Roman"/>
        </w:rPr>
        <w:t>7</w:t>
      </w:r>
      <w:r w:rsidRPr="0006425D">
        <w:rPr>
          <w:rFonts w:ascii="Times New Roman" w:hAnsi="Times New Roman" w:cs="Times New Roman"/>
        </w:rPr>
        <w:t xml:space="preserve">°). </w:t>
      </w:r>
      <w:r w:rsidR="004B7501">
        <w:rPr>
          <w:rFonts w:ascii="Times New Roman" w:hAnsi="Times New Roman" w:cs="Times New Roman"/>
        </w:rPr>
        <w:t xml:space="preserve">Five patients had endocrine comorbidities (0.4%), 201 had gastrointestinal comorbidities (16.9%), 267 had pulmonary comorbidities (22.5%), and 294 had developmental delay (24.7%).  Urinary incontinence affected 118 patients (9.9%) and 45 patients were in possession of a VP shunt (3.8%). </w:t>
      </w:r>
    </w:p>
    <w:p w14:paraId="764B62EE" w14:textId="77777777" w:rsidR="00554B06" w:rsidRPr="000B6AA8" w:rsidRDefault="00554B06" w:rsidP="00554B06">
      <w:pPr>
        <w:rPr>
          <w:rFonts w:ascii="Times New Roman" w:hAnsi="Times New Roman" w:cs="Times New Roman"/>
          <w:lang w:eastAsia="ja-JP"/>
        </w:rPr>
      </w:pPr>
    </w:p>
    <w:p w14:paraId="610ED32F" w14:textId="005B140A" w:rsidR="00B01CEE" w:rsidRPr="000B6AA8" w:rsidRDefault="00554B06">
      <w:pPr>
        <w:rPr>
          <w:rFonts w:ascii="Times New Roman" w:hAnsi="Times New Roman" w:cs="Times New Roman"/>
          <w:b/>
          <w:i/>
          <w:lang w:eastAsia="ja-JP"/>
        </w:rPr>
      </w:pPr>
      <w:r>
        <w:rPr>
          <w:rFonts w:ascii="Times New Roman" w:hAnsi="Times New Roman" w:cs="Times New Roman"/>
          <w:b/>
          <w:i/>
          <w:lang w:eastAsia="ja-JP"/>
        </w:rPr>
        <w:t>Surgical Site Infection</w:t>
      </w:r>
    </w:p>
    <w:p w14:paraId="7C0D4F3F" w14:textId="0EDFD134" w:rsidR="00A22E5B" w:rsidRPr="002A10D3" w:rsidRDefault="00563E53" w:rsidP="00B01CEE">
      <w:pPr>
        <w:ind w:firstLine="720"/>
        <w:rPr>
          <w:rFonts w:ascii="Times New Roman" w:hAnsi="Times New Roman" w:cs="Times New Roman"/>
        </w:rPr>
      </w:pPr>
      <w:r>
        <w:rPr>
          <w:rFonts w:ascii="Times New Roman" w:hAnsi="Times New Roman" w:cs="Times New Roman"/>
          <w:lang w:eastAsia="ja-JP"/>
        </w:rPr>
        <w:t>Of 1,189</w:t>
      </w:r>
      <w:r w:rsidR="00B01CEE" w:rsidRPr="000B6AA8">
        <w:rPr>
          <w:rFonts w:ascii="Times New Roman" w:hAnsi="Times New Roman" w:cs="Times New Roman"/>
          <w:lang w:eastAsia="ja-JP"/>
        </w:rPr>
        <w:t xml:space="preserve"> patients, </w:t>
      </w:r>
      <w:r w:rsidR="005940DC">
        <w:rPr>
          <w:rFonts w:ascii="Times New Roman" w:hAnsi="Times New Roman" w:cs="Times New Roman"/>
        </w:rPr>
        <w:t>80 patients (6.9</w:t>
      </w:r>
      <w:r w:rsidR="00B01CEE" w:rsidRPr="002A10D3">
        <w:rPr>
          <w:rFonts w:ascii="Times New Roman" w:hAnsi="Times New Roman" w:cs="Times New Roman"/>
        </w:rPr>
        <w:t xml:space="preserve">%) </w:t>
      </w:r>
      <w:r w:rsidR="00C03A6B" w:rsidRPr="002A10D3">
        <w:rPr>
          <w:rFonts w:ascii="Times New Roman" w:hAnsi="Times New Roman" w:cs="Times New Roman"/>
        </w:rPr>
        <w:t>developed</w:t>
      </w:r>
      <w:r w:rsidR="00B01CEE" w:rsidRPr="002A10D3">
        <w:rPr>
          <w:rFonts w:ascii="Times New Roman" w:hAnsi="Times New Roman" w:cs="Times New Roman"/>
        </w:rPr>
        <w:t xml:space="preserve"> SSI</w:t>
      </w:r>
      <w:r w:rsidR="00C03A6B" w:rsidRPr="002A10D3">
        <w:rPr>
          <w:rFonts w:ascii="Times New Roman" w:hAnsi="Times New Roman" w:cs="Times New Roman"/>
        </w:rPr>
        <w:t>. Sixteen (21%) of the SSIs were superficial and 60 (79%) were deep.</w:t>
      </w:r>
      <w:r w:rsidR="00A22E5B" w:rsidRPr="002A10D3">
        <w:rPr>
          <w:rFonts w:ascii="Times New Roman" w:hAnsi="Times New Roman" w:cs="Times New Roman"/>
        </w:rPr>
        <w:t xml:space="preserve"> Risk of SSI differed by specific demographics and preoperative characteristics as shown in Table 1. </w:t>
      </w:r>
      <w:r w:rsidRPr="002A10D3">
        <w:rPr>
          <w:rFonts w:ascii="Times New Roman" w:hAnsi="Times New Roman" w:cs="Times New Roman"/>
        </w:rPr>
        <w:t xml:space="preserve">Of note, etiology was found to predispose a starkly different risk for SSI. Specifically, neuromuscular EOS patients were at the highest risk for SSI (11.9%, p&lt;0.01), as compared to non-neuromuscular etiologies such as congenital (3.7%, p=0.036), idiopathic (3.8%, p=0.024), and syndromic (4.7%, p=0.14). Subtypes of neuromuscular etiology also differ in their risk, though not significantly: Spina Bifida had 16.7% risk, SMA had 12.2% risk, and CP had a 10.3% risk. </w:t>
      </w:r>
    </w:p>
    <w:p w14:paraId="7E04A41E" w14:textId="77777777" w:rsidR="00C03A6B" w:rsidRPr="000B6AA8" w:rsidRDefault="00C03A6B" w:rsidP="00C03A6B">
      <w:pPr>
        <w:rPr>
          <w:rFonts w:ascii="Times New Roman" w:hAnsi="Times New Roman" w:cs="Times New Roman"/>
        </w:rPr>
      </w:pPr>
    </w:p>
    <w:p w14:paraId="13190D8F" w14:textId="77777777" w:rsidR="00C03A6B" w:rsidRPr="000B6AA8" w:rsidRDefault="00C03A6B" w:rsidP="00C03A6B">
      <w:pPr>
        <w:rPr>
          <w:rFonts w:ascii="Times New Roman" w:hAnsi="Times New Roman" w:cs="Times New Roman"/>
          <w:b/>
          <w:i/>
        </w:rPr>
      </w:pPr>
      <w:r w:rsidRPr="000B6AA8">
        <w:rPr>
          <w:rFonts w:ascii="Times New Roman" w:hAnsi="Times New Roman" w:cs="Times New Roman"/>
          <w:b/>
          <w:i/>
        </w:rPr>
        <w:t>Development of Risk Stratification Score</w:t>
      </w:r>
    </w:p>
    <w:p w14:paraId="4329E7C3" w14:textId="6E2FE893" w:rsidR="00050C83" w:rsidRDefault="00C03A6B" w:rsidP="00050C83">
      <w:pPr>
        <w:rPr>
          <w:rFonts w:ascii="Times New Roman" w:hAnsi="Times New Roman" w:cs="Times New Roman"/>
        </w:rPr>
      </w:pPr>
      <w:r w:rsidRPr="000B6AA8">
        <w:rPr>
          <w:rFonts w:ascii="Times New Roman" w:hAnsi="Times New Roman" w:cs="Times New Roman"/>
        </w:rPr>
        <w:tab/>
        <w:t xml:space="preserve">A final model yielding risk stratification score include the presence of </w:t>
      </w:r>
      <w:r w:rsidR="00050C83" w:rsidRPr="000B6AA8">
        <w:rPr>
          <w:rFonts w:ascii="Times New Roman" w:hAnsi="Times New Roman" w:cs="Times New Roman"/>
        </w:rPr>
        <w:t>neuromuscular etiology</w:t>
      </w:r>
      <w:r w:rsidRPr="000B6AA8">
        <w:rPr>
          <w:rFonts w:ascii="Times New Roman" w:hAnsi="Times New Roman" w:cs="Times New Roman"/>
        </w:rPr>
        <w:t>, mye</w:t>
      </w:r>
      <w:r w:rsidR="00050C83" w:rsidRPr="000B6AA8">
        <w:rPr>
          <w:rFonts w:ascii="Times New Roman" w:hAnsi="Times New Roman" w:cs="Times New Roman"/>
        </w:rPr>
        <w:t>lomeningocele, SMA</w:t>
      </w:r>
      <w:r w:rsidRPr="000B6AA8">
        <w:rPr>
          <w:rFonts w:ascii="Times New Roman" w:hAnsi="Times New Roman" w:cs="Times New Roman"/>
        </w:rPr>
        <w:t>,</w:t>
      </w:r>
      <w:r w:rsidR="00050C83" w:rsidRPr="000B6AA8">
        <w:rPr>
          <w:rFonts w:ascii="Times New Roman" w:hAnsi="Times New Roman" w:cs="Times New Roman"/>
        </w:rPr>
        <w:t xml:space="preserve"> endocrine comorbidity</w:t>
      </w:r>
      <w:r w:rsidRPr="000B6AA8">
        <w:rPr>
          <w:rFonts w:ascii="Times New Roman" w:hAnsi="Times New Roman" w:cs="Times New Roman"/>
        </w:rPr>
        <w:t>, gastro</w:t>
      </w:r>
      <w:r w:rsidR="00050C83" w:rsidRPr="000B6AA8">
        <w:rPr>
          <w:rFonts w:ascii="Times New Roman" w:hAnsi="Times New Roman" w:cs="Times New Roman"/>
        </w:rPr>
        <w:t>intestinal comorbidity</w:t>
      </w:r>
      <w:r w:rsidRPr="000B6AA8">
        <w:rPr>
          <w:rFonts w:ascii="Times New Roman" w:hAnsi="Times New Roman" w:cs="Times New Roman"/>
        </w:rPr>
        <w:t>,</w:t>
      </w:r>
      <w:r w:rsidR="00050C83" w:rsidRPr="000B6AA8">
        <w:rPr>
          <w:rFonts w:ascii="Times New Roman" w:hAnsi="Times New Roman" w:cs="Times New Roman"/>
        </w:rPr>
        <w:t xml:space="preserve"> pulmonary comorbidity, developmental delay, urinary incontinence</w:t>
      </w:r>
      <w:r w:rsidRPr="000B6AA8">
        <w:rPr>
          <w:rFonts w:ascii="Times New Roman" w:hAnsi="Times New Roman" w:cs="Times New Roman"/>
        </w:rPr>
        <w:t xml:space="preserve">, and </w:t>
      </w:r>
      <w:r w:rsidR="00050C83" w:rsidRPr="000B6AA8">
        <w:rPr>
          <w:rFonts w:ascii="Times New Roman" w:hAnsi="Times New Roman" w:cs="Times New Roman"/>
        </w:rPr>
        <w:t xml:space="preserve">ventriculoperitoneal </w:t>
      </w:r>
      <w:r w:rsidR="00441527">
        <w:rPr>
          <w:rFonts w:ascii="Times New Roman" w:hAnsi="Times New Roman" w:cs="Times New Roman"/>
        </w:rPr>
        <w:t xml:space="preserve">(VP) </w:t>
      </w:r>
      <w:r w:rsidR="00050C83" w:rsidRPr="000B6AA8">
        <w:rPr>
          <w:rFonts w:ascii="Times New Roman" w:hAnsi="Times New Roman" w:cs="Times New Roman"/>
        </w:rPr>
        <w:t>shunt (Table 2)</w:t>
      </w:r>
      <w:r w:rsidRPr="000B6AA8">
        <w:rPr>
          <w:rFonts w:ascii="Times New Roman" w:hAnsi="Times New Roman" w:cs="Times New Roman"/>
        </w:rPr>
        <w:t xml:space="preserve">.  </w:t>
      </w:r>
      <w:r w:rsidR="00050C83" w:rsidRPr="000B6AA8">
        <w:rPr>
          <w:rFonts w:ascii="Times New Roman" w:hAnsi="Times New Roman" w:cs="Times New Roman"/>
        </w:rPr>
        <w:t>The probability of SSI for individual patients can be calculated using the beta</w:t>
      </w:r>
      <w:r w:rsidR="005940DC">
        <w:rPr>
          <w:rFonts w:ascii="Times New Roman" w:hAnsi="Times New Roman" w:cs="Times New Roman"/>
        </w:rPr>
        <w:t>-value</w:t>
      </w:r>
      <w:r w:rsidR="00050C83" w:rsidRPr="000B6AA8">
        <w:rPr>
          <w:rFonts w:ascii="Times New Roman" w:hAnsi="Times New Roman" w:cs="Times New Roman"/>
        </w:rPr>
        <w:t xml:space="preserve">s yielded from the final model by </w:t>
      </w:r>
      <w:r w:rsidR="005940DC">
        <w:rPr>
          <w:rFonts w:ascii="Times New Roman" w:hAnsi="Times New Roman" w:cs="Times New Roman"/>
        </w:rPr>
        <w:t>substituting</w:t>
      </w:r>
      <w:r w:rsidR="00050C83" w:rsidRPr="000B6AA8">
        <w:rPr>
          <w:rFonts w:ascii="Times New Roman" w:hAnsi="Times New Roman" w:cs="Times New Roman"/>
        </w:rPr>
        <w:t xml:space="preserve"> 1 (presence) or 0 (absence) </w:t>
      </w:r>
      <w:r w:rsidR="005940DC">
        <w:rPr>
          <w:rFonts w:ascii="Times New Roman" w:hAnsi="Times New Roman" w:cs="Times New Roman"/>
        </w:rPr>
        <w:t>in</w:t>
      </w:r>
      <w:r w:rsidR="00050C83" w:rsidRPr="000B6AA8">
        <w:rPr>
          <w:rFonts w:ascii="Times New Roman" w:hAnsi="Times New Roman" w:cs="Times New Roman"/>
        </w:rPr>
        <w:t xml:space="preserve">to the </w:t>
      </w:r>
      <w:r w:rsidR="005940DC">
        <w:rPr>
          <w:rFonts w:ascii="Times New Roman" w:hAnsi="Times New Roman" w:cs="Times New Roman"/>
        </w:rPr>
        <w:lastRenderedPageBreak/>
        <w:t xml:space="preserve">following </w:t>
      </w:r>
      <w:r w:rsidR="00050C83" w:rsidRPr="000B6AA8">
        <w:rPr>
          <w:rFonts w:ascii="Times New Roman" w:hAnsi="Times New Roman" w:cs="Times New Roman"/>
        </w:rPr>
        <w:t>equation: [exp [-3.365 + 0.828(neuromuscular etiology</w:t>
      </w:r>
      <w:r w:rsidR="00050C83" w:rsidRPr="00F75082">
        <w:rPr>
          <w:rFonts w:ascii="Times New Roman" w:hAnsi="Times New Roman" w:cs="Times New Roman"/>
        </w:rPr>
        <w:t xml:space="preserve">) </w:t>
      </w:r>
      <w:r w:rsidR="00F75082" w:rsidRPr="00F75082">
        <w:rPr>
          <w:rFonts w:ascii="Times New Roman" w:hAnsi="Times New Roman" w:cs="Times New Roman"/>
        </w:rPr>
        <w:t>+ 0.376</w:t>
      </w:r>
      <w:r w:rsidR="00050C83" w:rsidRPr="00F75082">
        <w:rPr>
          <w:rFonts w:ascii="Times New Roman" w:hAnsi="Times New Roman" w:cs="Times New Roman"/>
        </w:rPr>
        <w:t>(</w:t>
      </w:r>
      <w:r w:rsidR="00F75082" w:rsidRPr="00F75082">
        <w:rPr>
          <w:rFonts w:ascii="Times New Roman" w:hAnsi="Times New Roman" w:cs="Times New Roman"/>
        </w:rPr>
        <w:t>Spina Bifida) + 0.304</w:t>
      </w:r>
      <w:r w:rsidR="00050C83" w:rsidRPr="00F75082">
        <w:rPr>
          <w:rFonts w:ascii="Times New Roman" w:hAnsi="Times New Roman" w:cs="Times New Roman"/>
        </w:rPr>
        <w:t xml:space="preserve"> (SMA) + </w:t>
      </w:r>
      <w:r w:rsidR="00F75082" w:rsidRPr="00F75082">
        <w:rPr>
          <w:rFonts w:ascii="Times New Roman" w:hAnsi="Times New Roman" w:cs="Times New Roman"/>
        </w:rPr>
        <w:t>0.287 (Urinary Incontinence)+ 0.387(VP Shunt) + 0.347(Developmental Delay) + 1.449</w:t>
      </w:r>
      <w:r w:rsidR="00050C83" w:rsidRPr="00F75082">
        <w:rPr>
          <w:rFonts w:ascii="Times New Roman" w:hAnsi="Times New Roman" w:cs="Times New Roman"/>
        </w:rPr>
        <w:t xml:space="preserve"> (</w:t>
      </w:r>
      <w:r w:rsidR="00F75082" w:rsidRPr="00F75082">
        <w:rPr>
          <w:rFonts w:ascii="Times New Roman" w:hAnsi="Times New Roman" w:cs="Times New Roman"/>
        </w:rPr>
        <w:t>Endocrine Comorbidity) + 0.276(GI Comorbidity</w:t>
      </w:r>
      <w:r w:rsidR="00050C83" w:rsidRPr="00F75082">
        <w:rPr>
          <w:rFonts w:ascii="Times New Roman" w:hAnsi="Times New Roman" w:cs="Times New Roman"/>
        </w:rPr>
        <w:t>)</w:t>
      </w:r>
      <w:r w:rsidR="00F75082" w:rsidRPr="00F75082">
        <w:rPr>
          <w:rFonts w:ascii="Times New Roman" w:hAnsi="Times New Roman" w:cs="Times New Roman"/>
        </w:rPr>
        <w:t>+ 0.19(Pulmonary Comorbidity)] ]/ [1 + exp [-3.365</w:t>
      </w:r>
      <w:r w:rsidR="00050C83" w:rsidRPr="00F75082">
        <w:rPr>
          <w:rFonts w:ascii="Times New Roman" w:hAnsi="Times New Roman" w:cs="Times New Roman"/>
        </w:rPr>
        <w:t xml:space="preserve"> +</w:t>
      </w:r>
      <w:r w:rsidR="00F75082" w:rsidRPr="00F75082">
        <w:rPr>
          <w:rFonts w:ascii="Times New Roman" w:hAnsi="Times New Roman" w:cs="Times New Roman"/>
        </w:rPr>
        <w:t>0.828(neuromuscular etiology) + 0.376(Spina Bifida) + 0.304 (SMA) + 0.287 (Urinary Incontinence)+ 0.387(VP Shunt) + 0.347(Developmental Delay) + 1.449 (Endocrine Comorbidity) + 0.276(GI Comorbidity)+ 0.19(Pulmonary Comorbidity)</w:t>
      </w:r>
      <w:r w:rsidR="00050C83" w:rsidRPr="00F75082">
        <w:rPr>
          <w:rFonts w:ascii="Times New Roman" w:hAnsi="Times New Roman" w:cs="Times New Roman"/>
        </w:rPr>
        <w:t>]].</w:t>
      </w:r>
      <w:r w:rsidR="00050C83" w:rsidRPr="000B6AA8">
        <w:rPr>
          <w:rFonts w:ascii="Times New Roman" w:hAnsi="Times New Roman" w:cs="Times New Roman"/>
        </w:rPr>
        <w:t xml:space="preserve"> For ex</w:t>
      </w:r>
      <w:r w:rsidR="00EE6171">
        <w:rPr>
          <w:rFonts w:ascii="Times New Roman" w:hAnsi="Times New Roman" w:cs="Times New Roman"/>
        </w:rPr>
        <w:t>ample, t</w:t>
      </w:r>
      <w:r w:rsidR="00EE6171" w:rsidRPr="0091766E">
        <w:rPr>
          <w:rFonts w:ascii="Times New Roman" w:hAnsi="Times New Roman" w:cs="Times New Roman"/>
        </w:rPr>
        <w:t>he model predicted 3.3% probability of SSI for patients with none of these risk factors</w:t>
      </w:r>
      <w:r w:rsidR="00EE6171">
        <w:rPr>
          <w:rFonts w:ascii="Times New Roman" w:hAnsi="Times New Roman" w:cs="Times New Roman"/>
        </w:rPr>
        <w:t>,</w:t>
      </w:r>
      <w:r w:rsidR="00EE6171" w:rsidRPr="0091766E">
        <w:rPr>
          <w:rFonts w:ascii="Times New Roman" w:hAnsi="Times New Roman" w:cs="Times New Roman"/>
        </w:rPr>
        <w:t xml:space="preserve"> and 68.4% probability for patients with myelomeningocele, GI, endocrine, and pulmonary comorbidities, developmental delay, urinary incontinence, and ventriculoperitoneal shunt</w:t>
      </w:r>
      <w:r w:rsidR="00EE6171">
        <w:rPr>
          <w:rFonts w:ascii="Times New Roman" w:hAnsi="Times New Roman" w:cs="Times New Roman"/>
        </w:rPr>
        <w:t>.</w:t>
      </w:r>
    </w:p>
    <w:p w14:paraId="3EF37A22" w14:textId="77777777" w:rsidR="00050C83" w:rsidRPr="000B6AA8" w:rsidRDefault="00050C83" w:rsidP="00C03A6B">
      <w:pPr>
        <w:rPr>
          <w:rFonts w:ascii="Times New Roman" w:hAnsi="Times New Roman" w:cs="Times New Roman"/>
          <w:b/>
          <w:i/>
          <w:lang w:eastAsia="ja-JP"/>
        </w:rPr>
      </w:pPr>
    </w:p>
    <w:p w14:paraId="5C7A21AA" w14:textId="77777777" w:rsidR="00A826C1" w:rsidRPr="00A826C1" w:rsidRDefault="00A826C1" w:rsidP="00A826C1">
      <w:pPr>
        <w:rPr>
          <w:rFonts w:ascii="Times New Roman" w:hAnsi="Times New Roman" w:cs="Times New Roman"/>
          <w:b/>
          <w:i/>
          <w:lang w:eastAsia="ja-JP"/>
        </w:rPr>
      </w:pPr>
      <w:r w:rsidRPr="00A826C1">
        <w:rPr>
          <w:rFonts w:ascii="Times New Roman" w:hAnsi="Times New Roman" w:cs="Times New Roman"/>
          <w:b/>
          <w:i/>
          <w:lang w:eastAsia="ja-JP"/>
        </w:rPr>
        <w:t>Evaluation of Model Performance</w:t>
      </w:r>
    </w:p>
    <w:p w14:paraId="70C0AEAA" w14:textId="6D49832E" w:rsidR="00A826C1" w:rsidRPr="00A826C1" w:rsidRDefault="00A826C1" w:rsidP="00A826C1">
      <w:pPr>
        <w:rPr>
          <w:rFonts w:ascii="Times New Roman" w:hAnsi="Times New Roman" w:cs="Times New Roman"/>
          <w:lang w:eastAsia="ja-JP"/>
        </w:rPr>
      </w:pPr>
      <w:r w:rsidRPr="00A826C1">
        <w:rPr>
          <w:rFonts w:ascii="Times New Roman" w:hAnsi="Times New Roman" w:cs="Times New Roman"/>
          <w:lang w:eastAsia="ja-JP"/>
        </w:rPr>
        <w:tab/>
        <w:t xml:space="preserve">The RSS had a good discrimination, identifying true positives while minimizing false positives (c-statistic = 0.706). It also had an excellent calibration (Hosmer-Lemeshow statistics: p=0.149) with p-value greater than 0.05. The fit was also excellent when portrayed graphically (Figure 1). Plots of mean observed probabilities of SSI versus mean predicted probabilities of SSI for 7 risk groups were close to the diagonal line which shows perfect prediction (mean predicted risk = mean observed risk). The graphical representation of fit suggests that the model provides predictions that are consistent with the observed values. </w:t>
      </w:r>
    </w:p>
    <w:p w14:paraId="2AF99A75" w14:textId="77777777" w:rsidR="00A826C1" w:rsidRPr="00A826C1" w:rsidRDefault="00A826C1" w:rsidP="00A826C1">
      <w:pPr>
        <w:rPr>
          <w:rFonts w:ascii="Times New Roman" w:hAnsi="Times New Roman" w:cs="Times New Roman"/>
          <w:lang w:eastAsia="ja-JP"/>
        </w:rPr>
      </w:pPr>
    </w:p>
    <w:p w14:paraId="44A74728" w14:textId="77777777" w:rsidR="00A826C1" w:rsidRPr="00A826C1" w:rsidRDefault="00A826C1" w:rsidP="00A826C1">
      <w:pPr>
        <w:rPr>
          <w:rFonts w:ascii="Times New Roman" w:hAnsi="Times New Roman" w:cs="Times New Roman"/>
          <w:b/>
          <w:lang w:eastAsia="ja-JP"/>
        </w:rPr>
      </w:pPr>
      <w:r w:rsidRPr="00A826C1">
        <w:rPr>
          <w:rFonts w:ascii="Times New Roman" w:hAnsi="Times New Roman" w:cs="Times New Roman"/>
          <w:b/>
          <w:lang w:eastAsia="ja-JP"/>
        </w:rPr>
        <w:t>DISCUSSION</w:t>
      </w:r>
    </w:p>
    <w:p w14:paraId="60619C66" w14:textId="6F66560B" w:rsidR="00A826C1" w:rsidRPr="00A826C1" w:rsidRDefault="00A826C1" w:rsidP="00A826C1">
      <w:pPr>
        <w:rPr>
          <w:rFonts w:ascii="Times New Roman" w:hAnsi="Times New Roman" w:cs="Times New Roman"/>
          <w:lang w:eastAsia="ja-JP"/>
        </w:rPr>
      </w:pPr>
      <w:r w:rsidRPr="00A826C1">
        <w:rPr>
          <w:rFonts w:ascii="Times New Roman" w:hAnsi="Times New Roman" w:cs="Times New Roman"/>
          <w:lang w:eastAsia="ja-JP"/>
        </w:rPr>
        <w:tab/>
        <w:t>This study is the first to our knowledge to develop and evaluate RSS for EOS patients with all etiologies undergoing all surgical procedures for their correction of spinal deformity. This study demonstrated that the developed RSS has</w:t>
      </w:r>
      <w:r w:rsidR="00ED4EE0">
        <w:rPr>
          <w:rFonts w:ascii="Times New Roman" w:hAnsi="Times New Roman" w:cs="Times New Roman"/>
          <w:lang w:eastAsia="ja-JP"/>
        </w:rPr>
        <w:t xml:space="preserve"> the ability to identify</w:t>
      </w:r>
      <w:r w:rsidRPr="00A826C1">
        <w:rPr>
          <w:rFonts w:ascii="Times New Roman" w:hAnsi="Times New Roman" w:cs="Times New Roman"/>
          <w:lang w:eastAsia="ja-JP"/>
        </w:rPr>
        <w:t xml:space="preserve"> true positives while minimizing false positives and producing predictions that are consistent with the observed values. </w:t>
      </w:r>
    </w:p>
    <w:p w14:paraId="1BB9F137" w14:textId="339977AA" w:rsidR="00A826C1" w:rsidRPr="00A826C1" w:rsidRDefault="00A826C1" w:rsidP="00A826C1">
      <w:pPr>
        <w:rPr>
          <w:rFonts w:ascii="Times New Roman" w:hAnsi="Times New Roman" w:cs="Times New Roman"/>
          <w:lang w:eastAsia="ja-JP"/>
        </w:rPr>
      </w:pPr>
      <w:r w:rsidRPr="00A826C1">
        <w:rPr>
          <w:rFonts w:ascii="Times New Roman" w:hAnsi="Times New Roman" w:cs="Times New Roman"/>
          <w:lang w:eastAsia="ja-JP"/>
        </w:rPr>
        <w:tab/>
        <w:t xml:space="preserve">The RSS for the prediction of SSI included the presence of neuromuscular etiology, myelomeningocele, SMA, endocrine comorbidity, gastrointestinal comorbidity, pulmonary comorbidity, developmental delay, urinary incontinence, and VP shunt. Including neuromuscular etiology </w:t>
      </w:r>
      <w:r w:rsidR="00ED4EE0">
        <w:rPr>
          <w:rFonts w:ascii="Times New Roman" w:hAnsi="Times New Roman" w:cs="Times New Roman"/>
          <w:lang w:eastAsia="ja-JP"/>
        </w:rPr>
        <w:t>as a predictive variable in</w:t>
      </w:r>
      <w:r w:rsidRPr="00A826C1">
        <w:rPr>
          <w:rFonts w:ascii="Times New Roman" w:hAnsi="Times New Roman" w:cs="Times New Roman"/>
          <w:lang w:eastAsia="ja-JP"/>
        </w:rPr>
        <w:t xml:space="preserve"> the RSS is </w:t>
      </w:r>
      <w:r w:rsidR="00ED4EE0">
        <w:rPr>
          <w:rFonts w:ascii="Times New Roman" w:hAnsi="Times New Roman" w:cs="Times New Roman"/>
          <w:lang w:eastAsia="ja-JP"/>
        </w:rPr>
        <w:t xml:space="preserve">a theme </w:t>
      </w:r>
      <w:r w:rsidRPr="00A826C1">
        <w:rPr>
          <w:rFonts w:ascii="Times New Roman" w:hAnsi="Times New Roman" w:cs="Times New Roman"/>
          <w:lang w:eastAsia="ja-JP"/>
        </w:rPr>
        <w:t>consistent with most of literature investigating the association between etiology and SSI and including pediatric patients (younger than 21 years of age) undergoing surgery for scoliosis performed after 2000 in the United States. These studies reported that patients with non-idiopathic etiologies especially patients with neuromuscular etiology have increased risk of SSI</w:t>
      </w:r>
      <w:r w:rsidRPr="00A826C1">
        <w:rPr>
          <w:rFonts w:ascii="Times New Roman" w:hAnsi="Times New Roman" w:cs="Times New Roman"/>
          <w:lang w:eastAsia="ja-JP"/>
        </w:rPr>
        <w:fldChar w:fldCharType="begin" w:fldLock="1"/>
      </w:r>
      <w:r w:rsidR="0080515B">
        <w:rPr>
          <w:rFonts w:ascii="Times New Roman" w:hAnsi="Times New Roman" w:cs="Times New Roman"/>
          <w:lang w:eastAsia="ja-JP"/>
        </w:rPr>
        <w:instrText>ADDIN CSL_CITATION { "citationItems" : [ { "id" : "ITEM-1", "itemData" : { "DOI" : "10.1097/BRS.0b013e3181f3a326", "ISSN" : "1528-1159", "PMID" : "21037528", "abstract" : "Retrospective review of a multicenter database.", "author" : [ { "dropping-particle" : "", "family" : "Reames", "given" : "Davis L", "non-dropping-particle" : "", "parse-names" : false, "suffix" : "" }, { "dropping-particle" : "", "family" : "Smith", "given" : "Justin S", "non-dropping-particle" : "", "parse-names" : false, "suffix" : "" }, { "dropping-particle" : "", "family" : "Fu", "given" : "Kai-Ming G", "non-dropping-particle" : "", "parse-names" : false, "suffix" : "" }, { "dropping-particle" : "", "family" : "Polly", "given" : "David W", "non-dropping-particle" : "", "parse-names" : false, "suffix" : "" }, { "dropping-particle" : "", "family" : "Ames", "given" : "Christopher P", "non-dropping-particle" : "", "parse-names" : false, "suffix" : "" }, { "dropping-particle" : "", "family" : "Berven", "given" : "Sigurd H", "non-dropping-particle" : "", "parse-names" : false, "suffix" : "" }, { "dropping-particle" : "", "family" : "Perra", "given" : "Joseph H", "non-dropping-particle" : "", "parse-names" : false, "suffix" : "" }, { "dropping-particle" : "", "family" : "Glassman", "given" : "Steven D", "non-dropping-particle" : "", "parse-names" : false, "suffix" : "" }, { "dropping-particle" : "", "family" : "McCarthy", "given" : "Richard E", "non-dropping-particle" : "", "parse-names" : false, "suffix" : "" }, { "dropping-particle" : "", "family" : "Knapp", "given" : "Raymond D", "non-dropping-particle" : "", "parse-names" : false, "suffix" : "" }, { "dropping-particle" : "", "family" : "Heary", "given" : "Robert", "non-dropping-particle" : "", "parse-names" : false, "suffix" : "" }, { "dropping-particle" : "", "family" : "Shaffrey", "given" : "Christopher I", "non-dropping-particle" : "", "parse-names" : false, "suffix" : "" } ], "container-title" : "Spine", "id" : "ITEM-1", "issue" : "18", "issued" : { "date-parts" : [ [ "2011", "8", "15" ] ] }, "page" : "1484-91", "title" : "Complications in the surgical treatment of 19,360 cases of pediatric scoliosis: a review of the Scoliosis Research Society Morbidity and Mortality database.", "type" : "article-journal", "volume" : "36" }, "uris" : [ "http://www.mendeley.com/documents/?uuid=fcf090ea-d11f-45fe-86da-b82ae286f801" ] }, { "id" : "ITEM-2", "itemData" : { "DOI" : "10.2106/JBJS.L.00010", "ISSN" : "1535-1386", "PMID" : "23636186", "abstract" : "Surgical site infection following correction of pediatric scoliosis is well described. However, we are aware of no recent multicenter study describing the rates of surgical site infection, and associated pathogens, among patients with different etiologies for scoliosis.", "author" : [ { "dropping-particle" : "", "family" : "Mackenzie", "given" : "W G Stuart", "non-dropping-particle" : "", "parse-names" : false, "suffix" : "" }, { "dropping-particle" : "", "family" : "Matsumoto", "given" : "Hiroko", "non-dropping-particle" : "", "parse-names" : false, "suffix" : "" }, { "dropping-particle" : "", "family" : "Williams", "given" : "Brendan A", "non-dropping-particle" : "", "parse-names" : false, "suffix" : "" }, { "dropping-particle" : "", "family" : "Corona", "given" : "Jacqueline", "non-dropping-particle" : "", "parse-names" : false, "suffix" : "" }, { "dropping-particle" : "", "family" : "Lee", "given" : "Christopher", "non-dropping-particle" : "", "parse-names" : false, "suffix" : "" }, { "dropping-particle" : "", "family" : "Cody", "given" : "Stephanie R", "non-dropping-particle" : "", "parse-names" : false, "suffix" : "" }, { "dropping-particle" : "", "family" : "Covington", "given" : "Lisa", "non-dropping-particle" : "", "parse-names" : false, "suffix" : "" }, { "dropping-particle" : "", "family" : "Saiman", "given" : "Lisa", "non-dropping-particle" : "", "parse-names" : false, "suffix" : "" }, { "dropping-particle" : "", "family" : "Flynn", "given" : "John M", "non-dropping-particle" : "", "parse-names" : false, "suffix" : "" }, { "dropping-particle" : "", "family" : "Skaggs", "given" : "David L", "non-dropping-particle" : "", "parse-names" : false, "suffix" : "" }, { "dropping-particle" : "", "family" : "Roye", "given" : "David P", "non-dropping-particle" : "", "parse-names" : false, "suffix" : "" }, { "dropping-particle" : "", "family" : "Vitale", "given" : "Michael G", "non-dropping-particle" : "", "parse-names" : false, "suffix" : "" } ], "container-title" : "The Journal of bone and joint surgery. American volume", "id" : "ITEM-2", "issue" : "9", "issued" : { "date-parts" : [ [ "2013", "5", "1" ] ] }, "page" : "800-6, S1-2", "title" : "Surgical site infection following spinal instrumentation for scoliosis: a multicenter analysis of rates, risk factors, and pathogens.", "type" : "article-journal", "volume" : "95" }, "uris" : [ "http://www.mendeley.com/documents/?uuid=66213ee4-e9ec-423a-b3c3-5c2eaaf54ac2" ] }, { "id" : "ITEM-3", "itemData" : { "DOI" : "10.1097/BRS.0000000000000233", "ISBN" : "0000000000000", "ISSN" : "0362-2436", "author" : [ { "dropping-particle" : "", "family" : "Heffernan", "given" : "Michael J.", "non-dropping-particle" : "", "parse-names" : false, "suffix" : "" }, { "dropping-particle" : "", "family" : "Seehausen", "given" : "Derek a.", "non-dropping-particle" : "", "parse-names" : false, "suffix" : "" }, { "dropping-particle" : "", "family" : "Andras", "given" : "Lindsay M.", "non-dropping-particle" : "", "parse-names" : false, "suffix" : "" }, { "dropping-particle" : "", "family" : "Skaggs", "given" : "David L.", "non-dropping-particle" : "", "parse-names" : false, "suffix" : "" } ], "container-title" : "Spine", "id" : "ITEM-3", "issue" : "8", "issued" : { "date-parts" : [ [ "2014" ] ] }, "page" : "648-655", "title" : "Comparison of Outcomes After Posterior Spinal Fusion for Adolescent Idiopathic and Neuromuscular Scoliosis", "type" : "article-journal", "volume" : "39" }, "uris" : [ "http://www.mendeley.com/documents/?uuid=8481138b-adac-4655-90f6-0dff5c207bf5" ] }, { "id" : "ITEM-4", "itemData" : { "DOI" : "10.1097/BRS.0b013e3181eadd41", "ISSN" : "1528-1159", "PMID" : "21192288", "abstract" : "STUDY DESIGN: Retrospective review of a prospectively collected database. OBJECTIVE: Our objective was to assess the rates of postoperative wound infection associated with spine surgery. SUMMARY OF BACKGROUND DATA: Although wound infection after spine surgery remains a common source of morbidity, estimates of its rates of occurrence remain relatively limited. The Scoliosis Research Society prospectively collects morbidity and mortality data from its members, including the occurrence of wound infection. METHODS: The Scoliosis Research Society morbidity and mortality database was queried for all reported spine surgery cases from 2004 to 2007. Cases were stratified based on factors including diagnosis, adult (\u2265 21 years) versus pediatric (&lt;21 years), primary versus revision, use of implants, and whether a minimally invasive approach was used. Superficial, deep, and total infection rates were calculated. RESULTS.: In total, 108,419 cases were identified, with an overall total infection rate of 2.1% (superficial = 0.8%, deep = 1.3%). Based on primary diagnosis, total postoperative wound infection rate for adults ranged from 1.4% for degenerative disease to 4.2% for kyphosis. Postoperative wound infection rates for pediatric patients ranged from 0.9% for degenerative disease to 5.4% for kyphosis. Rate of infection was further stratified based on subtype of degenerative disease, type of scoliosis, and type of kyphosis for both adult and pediatric patients. Factors associated with increased rate of infection included revision surgery (P &lt; 0.001), performance of spinal fusion (P &lt; 0.001), and use of implants (P &lt; 0.001). Compared with a traditional open approach, use of a minimally invasive approach was associated with a lower rate of infection for lumbar discectomy (0.4% vs. 1.1%; P &lt; 0.001) and for transforaminal lumbar interbody fusion (1.3% vs. 2.9%; P = 0.005). CONCLUSION: Our data suggest that postsurgical infection, even among skilled spine surgeons, is an inherent potential complication. These data provide general benchmarks of infection rates as a basis for ongoing efforts to improve safety of care.", "author" : [ { "dropping-particle" : "", "family" : "Smith", "given" : "Justin S", "non-dropping-particle" : "", "parse-names" : false, "suffix" : "" }, { "dropping-particle" : "", "family" : "Shaffrey", "given" : "Christopher I", "non-dropping-particle" : "", "parse-names" : false, "suffix" : "" }, { "dropping-particle" : "", "family" : "Sansur", "given" : "Charles A", "non-dropping-particle" : "", "parse-names" : false, "suffix" : "" }, { "dropping-particle" : "", "family" : "Berven", "given" : "Sigurd H", "non-dropping-particle" : "", "parse-names" : false, "suffix" : "" }, { "dropping-particle" : "", "family" : "Fu", "given" : "Kai-Ming G", "non-dropping-particle" : "", "parse-names" : false, "suffix" : "" }, { "dropping-particle" : "", "family" : "Broadstone", "given" : "Paul A", "non-dropping-particle" : "", "parse-names" : false, "suffix" : "" }, { "dropping-particle" : "", "family" : "Choma", "given" : "Theodore J", "non-dropping-particle" : "", "parse-names" : false, "suffix" : "" }, { "dropping-particle" : "", "family" : "Goytan", "given" : "Michael J", "non-dropping-particle" : "", "parse-names" : false, "suffix" : "" }, { "dropping-particle" : "", "family" : "Noordeen", "given" : "Hilali H", "non-dropping-particle" : "", "parse-names" : false, "suffix" : "" }, { "dropping-particle" : "", "family" : "Knapp", "given" : "Dennis R", "non-dropping-particle" : "", "parse-names" : false, "suffix" : "" }, { "dropping-particle" : "", "family" : "Hart", "given" : "Robert A", "non-dropping-particle" : "", "parse-names" : false, "suffix" : "" }, { "dropping-particle" : "", "family" : "Donaldson", "given" : "William F", "non-dropping-particle" : "", "parse-names" : false, "suffix" : "" }, { "dropping-particle" : "", "family" : "Polly", "given" : "David W", "non-dropping-particle" : "", "parse-names" : false, "suffix" : "" }, { "dropping-particle" : "", "family" : "Perra", "given" : "Joseph H", "non-dropping-particle" : "", "parse-names" : false, "suffix" : "" }, { "dropping-particle" : "", "family" : "Boachie-Adjei", "given" : "Oheneba", "non-dropping-particle" : "", "parse-names" : false, "suffix" : "" } ], "container-title" : "Spine", "id" : "ITEM-4", "issue" : "7", "issued" : { "date-parts" : [ [ "2011", "4", "1" ] ] }, "page" : "556-63", "title" : "Rates of infection after spine surgery based on 108,419 procedures: a report from the Scoliosis Research Society Morbidity and Mortality Committee.", "type" : "article-journal", "volume" : "36" }, "uris" : [ "http://www.mendeley.com/documents/?uuid=ceb251d5-58d0-4b71-a828-87771e4adef6" ] } ], "mendeley" : { "formattedCitation" : "&lt;sup&gt;4,11,14,15&lt;/sup&gt;", "plainTextFormattedCitation" : "4,11,14,15", "previouslyFormattedCitation" : "&lt;sup&gt;4,11,14,15&lt;/sup&gt;" }, "properties" : { "noteIndex" : 0 }, "schema" : "https://github.com/citation-style-language/schema/raw/master/csl-citation.json" }</w:instrText>
      </w:r>
      <w:r w:rsidRPr="00A826C1">
        <w:rPr>
          <w:rFonts w:ascii="Times New Roman" w:hAnsi="Times New Roman" w:cs="Times New Roman"/>
          <w:lang w:eastAsia="ja-JP"/>
        </w:rPr>
        <w:fldChar w:fldCharType="separate"/>
      </w:r>
      <w:r w:rsidRPr="00A826C1">
        <w:rPr>
          <w:rFonts w:ascii="Times New Roman" w:hAnsi="Times New Roman" w:cs="Times New Roman"/>
          <w:noProof/>
          <w:vertAlign w:val="superscript"/>
          <w:lang w:eastAsia="ja-JP"/>
        </w:rPr>
        <w:t>4,11,14,15</w:t>
      </w:r>
      <w:r w:rsidRPr="00A826C1">
        <w:rPr>
          <w:rFonts w:ascii="Times New Roman" w:hAnsi="Times New Roman" w:cs="Times New Roman"/>
          <w:lang w:eastAsia="ja-JP"/>
        </w:rPr>
        <w:fldChar w:fldCharType="end"/>
      </w:r>
      <w:r w:rsidRPr="00A826C1">
        <w:rPr>
          <w:rFonts w:ascii="Times New Roman" w:hAnsi="Times New Roman" w:cs="Times New Roman"/>
          <w:lang w:eastAsia="ja-JP"/>
        </w:rPr>
        <w:t>. Studies investigating associations between comorbidities, urinary incontinence and VP shunt have disagreements in their findings.</w:t>
      </w:r>
      <w:r w:rsidR="00ED4EE0">
        <w:rPr>
          <w:rFonts w:ascii="Times New Roman" w:hAnsi="Times New Roman" w:cs="Times New Roman"/>
          <w:lang w:eastAsia="ja-JP"/>
        </w:rPr>
        <w:t xml:space="preserve"> The m</w:t>
      </w:r>
      <w:r w:rsidRPr="00A826C1">
        <w:rPr>
          <w:rFonts w:ascii="Times New Roman" w:hAnsi="Times New Roman" w:cs="Times New Roman"/>
          <w:lang w:eastAsia="ja-JP"/>
        </w:rPr>
        <w:t xml:space="preserve">ajority of </w:t>
      </w:r>
      <w:r w:rsidR="00ED4EE0">
        <w:rPr>
          <w:rFonts w:ascii="Times New Roman" w:hAnsi="Times New Roman" w:cs="Times New Roman"/>
          <w:lang w:eastAsia="ja-JP"/>
        </w:rPr>
        <w:t xml:space="preserve">the </w:t>
      </w:r>
      <w:r w:rsidRPr="00A826C1">
        <w:rPr>
          <w:rFonts w:ascii="Times New Roman" w:hAnsi="Times New Roman" w:cs="Times New Roman"/>
          <w:lang w:eastAsia="ja-JP"/>
        </w:rPr>
        <w:t>studies</w:t>
      </w:r>
      <w:r w:rsidR="00ED4EE0">
        <w:rPr>
          <w:rFonts w:ascii="Times New Roman" w:hAnsi="Times New Roman" w:cs="Times New Roman"/>
          <w:lang w:eastAsia="ja-JP"/>
        </w:rPr>
        <w:t xml:space="preserve"> available</w:t>
      </w:r>
      <w:r w:rsidRPr="00A826C1">
        <w:rPr>
          <w:rFonts w:ascii="Times New Roman" w:hAnsi="Times New Roman" w:cs="Times New Roman"/>
          <w:lang w:eastAsia="ja-JP"/>
        </w:rPr>
        <w:t xml:space="preserve"> in the literature has not been able to examine associations between various comorbidities, urinary incontinence and/or VP shunt and SSI</w:t>
      </w:r>
      <w:r w:rsidR="00ED4EE0">
        <w:rPr>
          <w:rFonts w:ascii="Times New Roman" w:hAnsi="Times New Roman" w:cs="Times New Roman"/>
          <w:lang w:eastAsia="ja-JP"/>
        </w:rPr>
        <w:t>,</w:t>
      </w:r>
      <w:r w:rsidRPr="00A826C1">
        <w:rPr>
          <w:rFonts w:ascii="Times New Roman" w:hAnsi="Times New Roman" w:cs="Times New Roman"/>
          <w:lang w:eastAsia="ja-JP"/>
        </w:rPr>
        <w:t xml:space="preserve"> possibly due to small sample size in single-center </w:t>
      </w:r>
      <w:r w:rsidR="00ED4EE0">
        <w:rPr>
          <w:rFonts w:ascii="Times New Roman" w:hAnsi="Times New Roman" w:cs="Times New Roman"/>
          <w:lang w:eastAsia="ja-JP"/>
        </w:rPr>
        <w:t>approaches</w:t>
      </w:r>
      <w:r w:rsidRPr="00A826C1">
        <w:rPr>
          <w:rFonts w:ascii="Times New Roman" w:hAnsi="Times New Roman" w:cs="Times New Roman"/>
          <w:lang w:eastAsia="ja-JP"/>
        </w:rPr>
        <w:t xml:space="preserve"> and lack of comorbidity data in studies using administrative national datasets. Additionally, previous studies often included spine surgeries performed </w:t>
      </w:r>
      <w:r w:rsidR="00ED4EE0">
        <w:rPr>
          <w:rFonts w:ascii="Times New Roman" w:hAnsi="Times New Roman" w:cs="Times New Roman"/>
          <w:lang w:eastAsia="ja-JP"/>
        </w:rPr>
        <w:t xml:space="preserve">in the </w:t>
      </w:r>
      <w:r w:rsidRPr="00A826C1">
        <w:rPr>
          <w:rFonts w:ascii="Times New Roman" w:hAnsi="Times New Roman" w:cs="Times New Roman"/>
          <w:lang w:eastAsia="ja-JP"/>
        </w:rPr>
        <w:t xml:space="preserve">1980s and 1990s, surgeries other than spinal deformity, patients </w:t>
      </w:r>
      <w:r w:rsidR="00ED4EE0">
        <w:rPr>
          <w:rFonts w:ascii="Times New Roman" w:hAnsi="Times New Roman" w:cs="Times New Roman"/>
          <w:lang w:eastAsia="ja-JP"/>
        </w:rPr>
        <w:t>of</w:t>
      </w:r>
      <w:r w:rsidRPr="00A826C1">
        <w:rPr>
          <w:rFonts w:ascii="Times New Roman" w:hAnsi="Times New Roman" w:cs="Times New Roman"/>
          <w:lang w:eastAsia="ja-JP"/>
        </w:rPr>
        <w:t xml:space="preserve"> older age (e.g. 0-28), </w:t>
      </w:r>
      <w:r w:rsidR="00ED4EE0">
        <w:rPr>
          <w:rFonts w:ascii="Times New Roman" w:hAnsi="Times New Roman" w:cs="Times New Roman"/>
          <w:lang w:eastAsia="ja-JP"/>
        </w:rPr>
        <w:t xml:space="preserve">and define </w:t>
      </w:r>
      <w:r w:rsidRPr="00A826C1">
        <w:rPr>
          <w:rFonts w:ascii="Times New Roman" w:hAnsi="Times New Roman" w:cs="Times New Roman"/>
          <w:lang w:eastAsia="ja-JP"/>
        </w:rPr>
        <w:t xml:space="preserve">SSI </w:t>
      </w:r>
      <w:r w:rsidR="00ED4EE0">
        <w:rPr>
          <w:rFonts w:ascii="Times New Roman" w:hAnsi="Times New Roman" w:cs="Times New Roman"/>
          <w:lang w:eastAsia="ja-JP"/>
        </w:rPr>
        <w:t>as occurring</w:t>
      </w:r>
      <w:r w:rsidRPr="00A826C1">
        <w:rPr>
          <w:rFonts w:ascii="Times New Roman" w:hAnsi="Times New Roman" w:cs="Times New Roman"/>
          <w:lang w:eastAsia="ja-JP"/>
        </w:rPr>
        <w:t xml:space="preserve"> </w:t>
      </w:r>
      <w:r w:rsidR="00ED4EE0">
        <w:rPr>
          <w:rFonts w:ascii="Times New Roman" w:hAnsi="Times New Roman" w:cs="Times New Roman"/>
          <w:lang w:eastAsia="ja-JP"/>
        </w:rPr>
        <w:t>beyond</w:t>
      </w:r>
      <w:r w:rsidRPr="00A826C1">
        <w:rPr>
          <w:rFonts w:ascii="Times New Roman" w:hAnsi="Times New Roman" w:cs="Times New Roman"/>
          <w:lang w:eastAsia="ja-JP"/>
        </w:rPr>
        <w:t xml:space="preserve"> 90 days</w:t>
      </w:r>
      <w:r w:rsidR="00ED4EE0">
        <w:rPr>
          <w:rFonts w:ascii="Times New Roman" w:hAnsi="Times New Roman" w:cs="Times New Roman"/>
          <w:lang w:eastAsia="ja-JP"/>
        </w:rPr>
        <w:t>, all of which have inherent faults and limit their credibility for use in analysis</w:t>
      </w:r>
      <w:r w:rsidRPr="00A826C1">
        <w:rPr>
          <w:rFonts w:ascii="Times New Roman" w:hAnsi="Times New Roman" w:cs="Times New Roman"/>
          <w:lang w:eastAsia="ja-JP"/>
        </w:rPr>
        <w:t>. While associations between various risk factors and SSI from previous studies are useful, variables used to estimate these associations do not need to be the same for variables used in the prediction model. In contrast to research investigating causal inference, causality is neither a primary aim nor a requirement for predictor inclusions in predictive research</w:t>
      </w:r>
      <w:r w:rsidRPr="00A826C1">
        <w:rPr>
          <w:rFonts w:ascii="Times New Roman" w:hAnsi="Times New Roman" w:cs="Times New Roman"/>
          <w:lang w:eastAsia="ja-JP"/>
        </w:rPr>
        <w:fldChar w:fldCharType="begin" w:fldLock="1"/>
      </w:r>
      <w:r w:rsidR="0080515B">
        <w:rPr>
          <w:rFonts w:ascii="Times New Roman" w:hAnsi="Times New Roman" w:cs="Times New Roman"/>
          <w:lang w:eastAsia="ja-JP"/>
        </w:rPr>
        <w:instrText>ADDIN CSL_CITATION { "citationItems" : [ { "id" : "ITEM-1", "itemData" : { "author" : [ { "dropping-particle" : "", "family" : "Moons", "given" : "Karel G M", "non-dropping-particle" : "", "parse-names" : false, "suffix" : "" }, { "dropping-particle" : "", "family" : "Royston", "given" : "Patrick", "non-dropping-particle" : "", "parse-names" : false, "suffix" : "" }, { "dropping-particle" : "", "family" : "Vergouwe", "given" : "Yvonne", "non-dropping-particle" : "", "parse-names" : false, "suffix" : "" }, { "dropping-particle" : "", "family" : "Grobbee", "given" : "Diederick E", "non-dropping-particle" : "", "parse-names" : false, "suffix" : "" }, { "dropping-particle" : "", "family" : "Altman", "given" : "Douglas G", "non-dropping-particle" : "", "parse-names" : false, "suffix" : "" } ], "container-title" : "BMJ", "id" : "ITEM-1", "issued" : { "date-parts" : [ [ "2009" ] ] }, "title" : "Prognosis and prognostic research: what, why, and how?", "type" : "article-journal", "volume" : "338" }, "uris" : [ "http://www.mendeley.com/documents/?uuid=cf1c117e-617a-362d-a5f2-196522db8092" ] } ], "mendeley" : { "formattedCitation" : "&lt;sup&gt;26&lt;/sup&gt;", "plainTextFormattedCitation" : "26", "previouslyFormattedCitation" : "&lt;sup&gt;84&lt;/sup&gt;" }, "properties" : { "noteIndex" : 0 }, "schema" : "https://github.com/citation-style-language/schema/raw/master/csl-citation.json" }</w:instrText>
      </w:r>
      <w:r w:rsidRPr="00A826C1">
        <w:rPr>
          <w:rFonts w:ascii="Times New Roman" w:hAnsi="Times New Roman" w:cs="Times New Roman"/>
          <w:lang w:eastAsia="ja-JP"/>
        </w:rPr>
        <w:fldChar w:fldCharType="separate"/>
      </w:r>
      <w:r w:rsidR="0080515B" w:rsidRPr="0080515B">
        <w:rPr>
          <w:rFonts w:ascii="Times New Roman" w:hAnsi="Times New Roman" w:cs="Times New Roman"/>
          <w:noProof/>
          <w:vertAlign w:val="superscript"/>
          <w:lang w:eastAsia="ja-JP"/>
        </w:rPr>
        <w:t>26</w:t>
      </w:r>
      <w:r w:rsidRPr="00A826C1">
        <w:rPr>
          <w:rFonts w:ascii="Times New Roman" w:hAnsi="Times New Roman" w:cs="Times New Roman"/>
          <w:lang w:eastAsia="ja-JP"/>
        </w:rPr>
        <w:fldChar w:fldCharType="end"/>
      </w:r>
      <w:r w:rsidRPr="00A826C1">
        <w:rPr>
          <w:rFonts w:ascii="Times New Roman" w:hAnsi="Times New Roman" w:cs="Times New Roman"/>
          <w:lang w:eastAsia="ja-JP"/>
        </w:rPr>
        <w:t>. Evaluations of prediction models depend upon models’ ability to make accurate predictions utilizing measures such as overall model performance and discriminating, calibrating</w:t>
      </w:r>
      <w:r w:rsidR="00396330">
        <w:rPr>
          <w:rFonts w:ascii="Times New Roman" w:hAnsi="Times New Roman" w:cs="Times New Roman"/>
          <w:lang w:eastAsia="ja-JP"/>
        </w:rPr>
        <w:t>,</w:t>
      </w:r>
      <w:r w:rsidRPr="00A826C1">
        <w:rPr>
          <w:rFonts w:ascii="Times New Roman" w:hAnsi="Times New Roman" w:cs="Times New Roman"/>
          <w:lang w:eastAsia="ja-JP"/>
        </w:rPr>
        <w:t xml:space="preserve"> and reclassifying abilities</w:t>
      </w:r>
      <w:r w:rsidRPr="00A826C1">
        <w:rPr>
          <w:rFonts w:ascii="Times New Roman" w:hAnsi="Times New Roman" w:cs="Times New Roman"/>
          <w:lang w:eastAsia="ja-JP"/>
        </w:rPr>
        <w:fldChar w:fldCharType="begin" w:fldLock="1"/>
      </w:r>
      <w:r w:rsidR="0080515B">
        <w:rPr>
          <w:rFonts w:ascii="Times New Roman" w:hAnsi="Times New Roman" w:cs="Times New Roman"/>
          <w:lang w:eastAsia="ja-JP"/>
        </w:rPr>
        <w:instrText>ADDIN CSL_CITATION { "citationItems" : [ { "id" : "ITEM-1", "itemData" : { "DOI" : "10.1097/EDE.0b013e3181c30fb2", "ISSN" : "1531-5487", "PMID" : "20010215", "abstract" : "The performance of prediction models can be assessed using a variety of methods and metrics. Traditional measures for binary and survival outcomes include the Brier score to indicate overall model performance, the concordance (or c) statistic for discriminative ability (or area under the receiver operating characteristic [ROC] curve), and goodness-of-fit statistics for calibration.Several new measures have recently been proposed that can be seen as refinements of discrimination measures, including variants of the c statistic for survival, reclassification tables, net reclassification improvement (NRI), and integrated discrimination improvement (IDI). Moreover, decision-analytic measures have been proposed, including decision curves to plot the net benefit achieved by making decisions based on model predictions.We aimed to define the role of these relatively novel approaches in the evaluation of the performance of prediction models. For illustration, we present a case study of predicting the presence of residual tumor versus benign tissue in patients with testicular cancer (n = 544 for model development, n = 273 for external validation).We suggest that reporting discrimination and calibration will always be important for a prediction model. Decision-analytic measures should be reported if the predictive model is to be used for clinical decisions. Other measures of performance may be warranted in specific applications, such as reclassification metrics to gain insight into the value of adding a novel predictor to an established model.", "author" : [ { "dropping-particle" : "", "family" : "Steyerberg", "given" : "Ewout W", "non-dropping-particle" : "", "parse-names" : false, "suffix" : "" }, { "dropping-particle" : "", "family" : "Vickers", "given" : "Andrew J", "non-dropping-particle" : "", "parse-names" : false, "suffix" : "" }, { "dropping-particle" : "", "family" : "Cook", "given" : "Nancy R", "non-dropping-particle" : "", "parse-names" : false, "suffix" : "" }, { "dropping-particle" : "", "family" : "Gerds", "given" : "Thomas", "non-dropping-particle" : "", "parse-names" : false, "suffix" : "" }, { "dropping-particle" : "", "family" : "Gonen", "given" : "Mithat", "non-dropping-particle" : "", "parse-names" : false, "suffix" : "" }, { "dropping-particle" : "", "family" : "Obuchowski", "given" : "Nancy", "non-dropping-particle" : "", "parse-names" : false, "suffix" : "" }, { "dropping-particle" : "", "family" : "Pencina", "given" : "Michael J", "non-dropping-particle" : "", "parse-names" : false, "suffix" : "" }, { "dropping-particle" : "", "family" : "Kattan", "given" : "Michael W", "non-dropping-particle" : "", "parse-names" : false, "suffix" : "" } ], "container-title" : "Epidemiology (Cambridge, Mass.)", "id" : "ITEM-1", "issue" : "1", "issued" : { "date-parts" : [ [ "2010", "1" ] ] }, "page" : "128-38", "publisher" : "NIH Public Access", "title" : "Assessing the performance of prediction models: a framework for traditional and novel measures.", "type" : "article-journal", "volume" : "21" }, "uris" : [ "http://www.mendeley.com/documents/?uuid=a6c8aada-1561-3f33-84ae-ce46a0584dd3" ] } ], "mendeley" : { "formattedCitation" : "&lt;sup&gt;27&lt;/sup&gt;", "plainTextFormattedCitation" : "27", "previouslyFormattedCitation" : "&lt;sup&gt;108&lt;/sup&gt;" }, "properties" : { "noteIndex" : 0 }, "schema" : "https://github.com/citation-style-language/schema/raw/master/csl-citation.json" }</w:instrText>
      </w:r>
      <w:r w:rsidRPr="00A826C1">
        <w:rPr>
          <w:rFonts w:ascii="Times New Roman" w:hAnsi="Times New Roman" w:cs="Times New Roman"/>
          <w:lang w:eastAsia="ja-JP"/>
        </w:rPr>
        <w:fldChar w:fldCharType="separate"/>
      </w:r>
      <w:r w:rsidR="0080515B" w:rsidRPr="0080515B">
        <w:rPr>
          <w:rFonts w:ascii="Times New Roman" w:hAnsi="Times New Roman" w:cs="Times New Roman"/>
          <w:noProof/>
          <w:vertAlign w:val="superscript"/>
          <w:lang w:eastAsia="ja-JP"/>
        </w:rPr>
        <w:t>27</w:t>
      </w:r>
      <w:r w:rsidRPr="00A826C1">
        <w:rPr>
          <w:rFonts w:ascii="Times New Roman" w:hAnsi="Times New Roman" w:cs="Times New Roman"/>
          <w:lang w:eastAsia="ja-JP"/>
        </w:rPr>
        <w:fldChar w:fldCharType="end"/>
      </w:r>
      <w:r w:rsidRPr="00A826C1">
        <w:rPr>
          <w:rFonts w:ascii="Times New Roman" w:hAnsi="Times New Roman" w:cs="Times New Roman"/>
          <w:lang w:eastAsia="ja-JP"/>
        </w:rPr>
        <w:t xml:space="preserve">. </w:t>
      </w:r>
    </w:p>
    <w:p w14:paraId="47677DA2" w14:textId="2A28E73B" w:rsidR="00A826C1" w:rsidRPr="00A826C1" w:rsidRDefault="00A826C1" w:rsidP="00A826C1">
      <w:pPr>
        <w:rPr>
          <w:rFonts w:ascii="Times New Roman" w:hAnsi="Times New Roman" w:cs="Times New Roman"/>
          <w:lang w:eastAsia="ja-JP"/>
        </w:rPr>
      </w:pPr>
      <w:r w:rsidRPr="00A826C1">
        <w:rPr>
          <w:rFonts w:ascii="Times New Roman" w:hAnsi="Times New Roman" w:cs="Times New Roman"/>
          <w:lang w:eastAsia="ja-JP"/>
        </w:rPr>
        <w:tab/>
      </w:r>
      <w:r w:rsidR="00396330">
        <w:rPr>
          <w:rFonts w:ascii="Times New Roman" w:hAnsi="Times New Roman" w:cs="Times New Roman"/>
          <w:lang w:eastAsia="ja-JP"/>
        </w:rPr>
        <w:t>A</w:t>
      </w:r>
      <w:r w:rsidRPr="00A826C1">
        <w:rPr>
          <w:rFonts w:ascii="Times New Roman" w:hAnsi="Times New Roman" w:cs="Times New Roman"/>
          <w:lang w:eastAsia="ja-JP"/>
        </w:rPr>
        <w:t xml:space="preserve"> prediction model such as the RSS is important for several reasons. First, the individualized probability of SSI yielded from the RSS would enhance informed counseling and shared decision-making with patients and families. In the past decade, there have been national initiatives to promote shared decision-making such as the 2007 Washington State legislation incentivizing shared decision-making as an alternative to the traditional informed consent process notifying patients and their families the decision made by healthcare providers (Washington State Legislature. RCW 7.70.060). The Journal of the American Medical Association issued an article encouraging decision aids with high quality evidence to be disseminated and implemented in support of the shared decision-making process</w:t>
      </w:r>
      <w:r w:rsidRPr="00A826C1">
        <w:rPr>
          <w:rFonts w:ascii="Times New Roman" w:hAnsi="Times New Roman" w:cs="Times New Roman"/>
          <w:lang w:eastAsia="ja-JP"/>
        </w:rPr>
        <w:fldChar w:fldCharType="begin" w:fldLock="1"/>
      </w:r>
      <w:r w:rsidR="0080515B">
        <w:rPr>
          <w:rFonts w:ascii="Times New Roman" w:hAnsi="Times New Roman" w:cs="Times New Roman"/>
          <w:lang w:eastAsia="ja-JP"/>
        </w:rPr>
        <w:instrText>ADDIN CSL_CITATION { "citationItems" : [ { "id" : "ITEM-1", "itemData" : { "DOI" : "10.1001/jama.2017.0616", "ISSN" : "0098-7484", "PMID" : "28384834", "author" : [ { "dropping-particle" : "", "family" : "Spatz", "given" : "Erica S.", "non-dropping-particle" : "", "parse-names" : false, "suffix" : "" }, { "dropping-particle" : "", "family" : "Krumholz", "given" : "Harlan M.", "non-dropping-particle" : "", "parse-names" : false, "suffix" : "" }, { "dropping-particle" : "", "family" : "Moulton", "given" : "Benjamin W.", "non-dropping-particle" : "", "parse-names" : false, "suffix" : "" } ], "container-title" : "JAMA", "id" : "ITEM-1", "issue" : "13", "issued" : { "date-parts" : [ [ "2017", "4", "4" ] ] }, "page" : "1309", "title" : "Prime Time for Shared Decision Making", "type" : "article-journal", "volume" : "317" }, "uris" : [ "http://www.mendeley.com/documents/?uuid=786d5778-b80a-3bdc-aab2-24051da52ba4" ] } ], "mendeley" : { "formattedCitation" : "&lt;sup&gt;28&lt;/sup&gt;", "plainTextFormattedCitation" : "28", "previouslyFormattedCitation" : "&lt;sup&gt;24&lt;/sup&gt;" }, "properties" : { "noteIndex" : 0 }, "schema" : "https://github.com/citation-style-language/schema/raw/master/csl-citation.json" }</w:instrText>
      </w:r>
      <w:r w:rsidRPr="00A826C1">
        <w:rPr>
          <w:rFonts w:ascii="Times New Roman" w:hAnsi="Times New Roman" w:cs="Times New Roman"/>
          <w:lang w:eastAsia="ja-JP"/>
        </w:rPr>
        <w:fldChar w:fldCharType="separate"/>
      </w:r>
      <w:r w:rsidR="0080515B" w:rsidRPr="0080515B">
        <w:rPr>
          <w:rFonts w:ascii="Times New Roman" w:hAnsi="Times New Roman" w:cs="Times New Roman"/>
          <w:noProof/>
          <w:vertAlign w:val="superscript"/>
          <w:lang w:eastAsia="ja-JP"/>
        </w:rPr>
        <w:t>28</w:t>
      </w:r>
      <w:r w:rsidRPr="00A826C1">
        <w:rPr>
          <w:rFonts w:ascii="Times New Roman" w:hAnsi="Times New Roman" w:cs="Times New Roman"/>
          <w:lang w:eastAsia="ja-JP"/>
        </w:rPr>
        <w:fldChar w:fldCharType="end"/>
      </w:r>
      <w:r w:rsidR="00396330">
        <w:rPr>
          <w:rFonts w:ascii="Times New Roman" w:hAnsi="Times New Roman" w:cs="Times New Roman"/>
          <w:lang w:eastAsia="ja-JP"/>
        </w:rPr>
        <w:t>. Since t</w:t>
      </w:r>
      <w:r w:rsidRPr="00A826C1">
        <w:rPr>
          <w:rFonts w:ascii="Times New Roman" w:hAnsi="Times New Roman" w:cs="Times New Roman"/>
          <w:lang w:eastAsia="ja-JP"/>
        </w:rPr>
        <w:t xml:space="preserve">he RSS </w:t>
      </w:r>
      <w:r w:rsidR="00396330">
        <w:rPr>
          <w:rFonts w:ascii="Times New Roman" w:hAnsi="Times New Roman" w:cs="Times New Roman"/>
          <w:lang w:eastAsia="ja-JP"/>
        </w:rPr>
        <w:t>demonstrates</w:t>
      </w:r>
      <w:r w:rsidRPr="00A826C1">
        <w:rPr>
          <w:rFonts w:ascii="Times New Roman" w:hAnsi="Times New Roman" w:cs="Times New Roman"/>
          <w:lang w:eastAsia="ja-JP"/>
        </w:rPr>
        <w:t xml:space="preserve"> high predictive probability for SSI after scoliosis surgery</w:t>
      </w:r>
      <w:r w:rsidR="00396330">
        <w:rPr>
          <w:rFonts w:ascii="Times New Roman" w:hAnsi="Times New Roman" w:cs="Times New Roman"/>
          <w:lang w:eastAsia="ja-JP"/>
        </w:rPr>
        <w:t>, it</w:t>
      </w:r>
      <w:r w:rsidRPr="00A826C1">
        <w:rPr>
          <w:rFonts w:ascii="Times New Roman" w:hAnsi="Times New Roman" w:cs="Times New Roman"/>
          <w:lang w:eastAsia="ja-JP"/>
        </w:rPr>
        <w:t xml:space="preserve"> would serve as useful aids for patients and their families to share in decision-making with their healthcare providers in terms of</w:t>
      </w:r>
      <w:r w:rsidR="00396330">
        <w:rPr>
          <w:rFonts w:ascii="Times New Roman" w:hAnsi="Times New Roman" w:cs="Times New Roman"/>
          <w:lang w:eastAsia="ja-JP"/>
        </w:rPr>
        <w:t xml:space="preserve"> the best individualized</w:t>
      </w:r>
      <w:r w:rsidRPr="00A826C1">
        <w:rPr>
          <w:rFonts w:ascii="Times New Roman" w:hAnsi="Times New Roman" w:cs="Times New Roman"/>
          <w:lang w:eastAsia="ja-JP"/>
        </w:rPr>
        <w:t xml:space="preserve"> scoliosis management. Second, knowledge of the risk of SSI for individual patients likely improves patient care in the clinical setting. A high probability of SSI yielded from the RSS in a certain </w:t>
      </w:r>
      <w:r w:rsidR="00396330">
        <w:rPr>
          <w:rFonts w:ascii="Times New Roman" w:hAnsi="Times New Roman" w:cs="Times New Roman"/>
          <w:lang w:eastAsia="ja-JP"/>
        </w:rPr>
        <w:t xml:space="preserve">pre-operative </w:t>
      </w:r>
      <w:r w:rsidRPr="00A826C1">
        <w:rPr>
          <w:rFonts w:ascii="Times New Roman" w:hAnsi="Times New Roman" w:cs="Times New Roman"/>
          <w:lang w:eastAsia="ja-JP"/>
        </w:rPr>
        <w:t>patient would likely facilitate communication among healthcare providers and improve their teamwork in caring for this patient. Studies have shown a positive correlation between communication and teamwork and positive surgical outcomes</w:t>
      </w:r>
      <w:r w:rsidRPr="00A826C1">
        <w:rPr>
          <w:rFonts w:ascii="Times New Roman" w:hAnsi="Times New Roman" w:cs="Times New Roman"/>
          <w:lang w:eastAsia="ja-JP"/>
        </w:rPr>
        <w:fldChar w:fldCharType="begin" w:fldLock="1"/>
      </w:r>
      <w:r w:rsidR="0080515B">
        <w:rPr>
          <w:rFonts w:ascii="Times New Roman" w:hAnsi="Times New Roman" w:cs="Times New Roman"/>
          <w:lang w:eastAsia="ja-JP"/>
        </w:rPr>
        <w:instrText>ADDIN CSL_CITATION { "citationItems" : [ { "id" : "ITEM-1", "itemData" : { "DOI" : "10.1001/jamasurg.2014.172", "ISSN" : "2168-6262", "PMID" : "25006700", "abstract" : "OBJECTIVES To describe the current state of the science for operating room (OR) briefings and debriefings, including an overview of key definitions, a review of the evidence of effectiveness, and a summary of our experiences as part of a comprehensive unit-based safety program. OVERVIEW Use of preoperative briefings has been shown to improve team communication, decrease disruptions to surgical workflow, improve compliance with antibiotic and deep vein thrombosis prophylaxis, and improve overall perceptions about the safety climate in the OR. Studies have demonstrated that an effective briefing can be performed in less than 2 minutes and reduce delays by more than 80%. Effective implementation involves changing workflows and expectations of interaction among OR team members, including participation from leaders at all levels. Briefings and debriefings are a strategy for revealing defects and facilitating adaptive change in the OR. CONCLUSIONS AND RELEVANCE Briefings and debriefings are a good method for improving teamwork and communication in the OR. Effective implementation may be associated with improved patient outcomes. Commitment by the participating providers is essential for effective briefings, which include discussion of relevant information pertaining to the procedure.", "author" : [ { "dropping-particle" : "", "family" : "Hicks", "given" : "Caitlin W", "non-dropping-particle" : "", "parse-names" : false, "suffix" : "" }, { "dropping-particle" : "", "family" : "Rosen", "given" : "Michael", "non-dropping-particle" : "", "parse-names" : false, "suffix" : "" }, { "dropping-particle" : "", "family" : "Hobson", "given" : "Deborah B", "non-dropping-particle" : "", "parse-names" : false, "suffix" : "" }, { "dropping-particle" : "", "family" : "Ko", "given" : "Clifford", "non-dropping-particle" : "", "parse-names" : false, "suffix" : "" }, { "dropping-particle" : "", "family" : "Wick", "given" : "Elizabeth C", "non-dropping-particle" : "", "parse-names" : false, "suffix" : "" } ], "container-title" : "JAMA surgery", "id" : "ITEM-1", "issue" : "8", "issued" : { "date-parts" : [ [ "2014", "8", "1" ] ] }, "page" : "863-8", "title" : "Improving safety and quality of care with enhanced teamwork through operating room briefings.", "type" : "article-journal", "volume" : "149" }, "uris" : [ "http://www.mendeley.com/documents/?uuid=0969e309-09f1-35e0-9ca5-262ab24ca654" ] } ], "mendeley" : { "formattedCitation" : "&lt;sup&gt;29&lt;/sup&gt;", "plainTextFormattedCitation" : "29", "previouslyFormattedCitation" : "&lt;sup&gt;25&lt;/sup&gt;" }, "properties" : { "noteIndex" : 0 }, "schema" : "https://github.com/citation-style-language/schema/raw/master/csl-citation.json" }</w:instrText>
      </w:r>
      <w:r w:rsidRPr="00A826C1">
        <w:rPr>
          <w:rFonts w:ascii="Times New Roman" w:hAnsi="Times New Roman" w:cs="Times New Roman"/>
          <w:lang w:eastAsia="ja-JP"/>
        </w:rPr>
        <w:fldChar w:fldCharType="separate"/>
      </w:r>
      <w:r w:rsidR="0080515B" w:rsidRPr="0080515B">
        <w:rPr>
          <w:rFonts w:ascii="Times New Roman" w:hAnsi="Times New Roman" w:cs="Times New Roman"/>
          <w:noProof/>
          <w:vertAlign w:val="superscript"/>
          <w:lang w:eastAsia="ja-JP"/>
        </w:rPr>
        <w:t>29</w:t>
      </w:r>
      <w:r w:rsidRPr="00A826C1">
        <w:rPr>
          <w:rFonts w:ascii="Times New Roman" w:hAnsi="Times New Roman" w:cs="Times New Roman"/>
          <w:lang w:eastAsia="ja-JP"/>
        </w:rPr>
        <w:fldChar w:fldCharType="end"/>
      </w:r>
      <w:r w:rsidRPr="00A826C1">
        <w:rPr>
          <w:rFonts w:ascii="Times New Roman" w:hAnsi="Times New Roman" w:cs="Times New Roman"/>
          <w:lang w:eastAsia="ja-JP"/>
        </w:rPr>
        <w:t xml:space="preserve">, including </w:t>
      </w:r>
      <w:r w:rsidR="00396330">
        <w:rPr>
          <w:rFonts w:ascii="Times New Roman" w:hAnsi="Times New Roman" w:cs="Times New Roman"/>
          <w:lang w:eastAsia="ja-JP"/>
        </w:rPr>
        <w:t>SSI after colorectal procedures</w:t>
      </w:r>
      <w:r w:rsidRPr="00A826C1">
        <w:rPr>
          <w:rFonts w:ascii="Times New Roman" w:hAnsi="Times New Roman" w:cs="Times New Roman"/>
          <w:lang w:eastAsia="ja-JP"/>
        </w:rPr>
        <w:fldChar w:fldCharType="begin" w:fldLock="1"/>
      </w:r>
      <w:r w:rsidR="0080515B">
        <w:rPr>
          <w:rFonts w:ascii="Times New Roman" w:hAnsi="Times New Roman" w:cs="Times New Roman"/>
          <w:lang w:eastAsia="ja-JP"/>
        </w:rPr>
        <w:instrText>ADDIN CSL_CITATION { "citationItems" : [ { "id" : "ITEM-1", "itemData" : { "DOI" : "10.1016/j.jamcollsurg.2012.03.017", "ISBN" : "1879-1190 (Electronic)\\r1072-7515 (Linking)", "ISSN" : "10727515", "PMID" : "22632912", "abstract" : "Background: Surgical site infections (SSI) are a common and costly problem, prolonging hospitalization and increasing readmission. Adherence to well-known infection control process measures has not been associated with substantial reductions in SSI. To date, the global burden of preventable SSI continues to result in patient harm and increased health care costs on a broad scale. Study Design: We designed a study to evaluate the association between implementation of a surgery-based comprehensive unit-based safety program (CUSP) and postoperative SSI rates. One year of pre- and post-CUSP intervention SSI rates were collected using the high-risk pilot module of the American College of Surgeons National Surgical Quality Improvement Program (July 2009 to July 2011). The CUSP group met monthly and consisted of a multidisciplinary team of front-line providers (eg, surgeons, nurses, operating room technicians, and anesthesiologists) who were directly involved in the care of colorectal surgery patients. Surgical Care Improvement Project process measure compliance was monitored using standard methods from the Centers for Medicare and Medicaid Services. Results: In the 12 months before implementation of the CUSP and interventions, the mean SSI rate was 27.3% (76 of 278 patients). After commencement of interventions, the rate was 18.2% (59 of 324 patients) for the subsequent 12 months - a 33.3% decrease (95% CI, 9-58%; p &lt; 0.05). The interventions included standardization of skin preparation; administration of preoperative chlorhexidine showers; selective elimination of mechanical bowel preparation; warming of patients in the preanesthesia area; adoption of enhanced sterile techniques for skin and fascial closure; addressing previously unrecognized lapses in antibiotic prophylaxis. There was no difference in surgical process measure compliance as measured by the Surgical Care Improvement Project during the same time period. Conclusions: Formation of small groups of front-line providers to address patient harm using local wisdom and existing evidence can improve patient safety. We demonstrate a surgery-based CUSP intervention that might have markedly decreased SSI in a high-risk population. ?? 2012 American College of Surgeons.", "author" : [ { "dropping-particle" : "", "family" : "Wick", "given" : "Elizabeth C.", "non-dropping-particle" : "", "parse-names" : false, "suffix" : "" }, { "dropping-particle" : "", "family" : "Hobson", "given" : "Deborah B.", "non-dropping-particle" : "", "parse-names" : false, "suffix" : "" }, { "dropping-particle" : "", "family" : "Bennett", "given" : "Jennifer L.", "non-dropping-particle" : "", "parse-names" : false, "suffix" : "" }, { "dropping-particle" : "", "family" : "Demski", "given" : "Renee", "non-dropping-particle" : "", "parse-names" : false, "suffix" : "" }, { "dropping-particle" : "", "family" : "Maragakis", "given" : "Lisa", "non-dropping-particle" : "", "parse-names" : false, "suffix" : "" }, { "dropping-particle" : "", "family" : "Gearhart", "given" : "Susan L.", "non-dropping-particle" : "", "parse-names" : false, "suffix" : "" }, { "dropping-particle" : "", "family" : "Efron", "given" : "Jonathan", "non-dropping-particle" : "", "parse-names" : false, "suffix" : "" }, { "dropping-particle" : "", "family" : "Berenholtz", "given" : "Sean M.", "non-dropping-particle" : "", "parse-names" : false, "suffix" : "" }, { "dropping-particle" : "", "family" : "Makary", "given" : "Martin a.", "non-dropping-particle" : "", "parse-names" : false, "suffix" : "" } ], "container-title" : "Journal of the American College of Surgeons", "id" : "ITEM-1", "issue" : "2", "issued" : { "date-parts" : [ [ "2012" ] ] }, "page" : "193-200", "publisher" : "Elsevier Inc.", "title" : "Implementation of a surgical comprehensive unit-based safety program to reduce surgical site infections", "type" : "article-journal", "volume" : "215" }, "uris" : [ "http://www.mendeley.com/documents/?uuid=e5947643-59e6-4c67-8c92-c33195a39b51" ] } ], "mendeley" : { "formattedCitation" : "&lt;sup&gt;30&lt;/sup&gt;", "plainTextFormattedCitation" : "30", "previouslyFormattedCitation" : "&lt;sup&gt;26&lt;/sup&gt;" }, "properties" : { "noteIndex" : 0 }, "schema" : "https://github.com/citation-style-language/schema/raw/master/csl-citation.json" }</w:instrText>
      </w:r>
      <w:r w:rsidRPr="00A826C1">
        <w:rPr>
          <w:rFonts w:ascii="Times New Roman" w:hAnsi="Times New Roman" w:cs="Times New Roman"/>
          <w:lang w:eastAsia="ja-JP"/>
        </w:rPr>
        <w:fldChar w:fldCharType="separate"/>
      </w:r>
      <w:r w:rsidR="0080515B" w:rsidRPr="0080515B">
        <w:rPr>
          <w:rFonts w:ascii="Times New Roman" w:hAnsi="Times New Roman" w:cs="Times New Roman"/>
          <w:noProof/>
          <w:vertAlign w:val="superscript"/>
          <w:lang w:eastAsia="ja-JP"/>
        </w:rPr>
        <w:t>30</w:t>
      </w:r>
      <w:r w:rsidRPr="00A826C1">
        <w:rPr>
          <w:rFonts w:ascii="Times New Roman" w:hAnsi="Times New Roman" w:cs="Times New Roman"/>
          <w:lang w:eastAsia="ja-JP"/>
        </w:rPr>
        <w:fldChar w:fldCharType="end"/>
      </w:r>
      <w:r w:rsidRPr="00A826C1">
        <w:rPr>
          <w:rFonts w:ascii="Times New Roman" w:hAnsi="Times New Roman" w:cs="Times New Roman"/>
          <w:lang w:eastAsia="ja-JP"/>
        </w:rPr>
        <w:t xml:space="preserve">. Third, individualized risk probability of SSI could be used as a tool for risk adjustment. The Centers for Medicare &amp; </w:t>
      </w:r>
      <w:r w:rsidRPr="00A826C1">
        <w:rPr>
          <w:rFonts w:ascii="Times New Roman" w:hAnsi="Times New Roman" w:cs="Times New Roman"/>
          <w:lang w:eastAsia="ja-JP"/>
        </w:rPr>
        <w:lastRenderedPageBreak/>
        <w:t>Medicaid Services (CMS) use incidence of readmission as a publicly reported quality metric and plan to decrease reimbursement to hospitals with high incidence of readmission</w:t>
      </w:r>
      <w:r w:rsidRPr="00A826C1">
        <w:rPr>
          <w:rFonts w:ascii="Times New Roman" w:hAnsi="Times New Roman" w:cs="Times New Roman"/>
          <w:lang w:eastAsia="ja-JP"/>
        </w:rPr>
        <w:fldChar w:fldCharType="begin" w:fldLock="1"/>
      </w:r>
      <w:r w:rsidR="0080515B">
        <w:rPr>
          <w:rFonts w:ascii="Times New Roman" w:hAnsi="Times New Roman" w:cs="Times New Roman"/>
          <w:lang w:eastAsia="ja-JP"/>
        </w:rPr>
        <w:instrText>ADDIN CSL_CITATION { "citationItems" : [ { "id" : "ITEM-1", "itemData" : { "author" : [ { "dropping-particle" : "", "family" : "QualityNet", "given" : "", "non-dropping-particle" : "", "parse-names" : false, "suffix" : "" } ], "id" : "ITEM-1", "issued" : { "date-parts" : [ [ "0" ] ] }, "title" : "Readmission measures overview: publicly reporting risk-standardized, 30-day readmission measures for AMI, HF and PN.", "type" : "webpage" }, "uris" : [ "http://www.mendeley.com/documents/?uuid=6ab54e2d-180c-4fad-80ee-a4e95aad3330" ] } ], "mendeley" : { "formattedCitation" : "&lt;sup&gt;31&lt;/sup&gt;", "plainTextFormattedCitation" : "31", "previouslyFormattedCitation" : "&lt;sup&gt;27&lt;/sup&gt;" }, "properties" : { "noteIndex" : 0 }, "schema" : "https://github.com/citation-style-language/schema/raw/master/csl-citation.json" }</w:instrText>
      </w:r>
      <w:r w:rsidRPr="00A826C1">
        <w:rPr>
          <w:rFonts w:ascii="Times New Roman" w:hAnsi="Times New Roman" w:cs="Times New Roman"/>
          <w:lang w:eastAsia="ja-JP"/>
        </w:rPr>
        <w:fldChar w:fldCharType="separate"/>
      </w:r>
      <w:r w:rsidR="0080515B" w:rsidRPr="0080515B">
        <w:rPr>
          <w:rFonts w:ascii="Times New Roman" w:hAnsi="Times New Roman" w:cs="Times New Roman"/>
          <w:noProof/>
          <w:vertAlign w:val="superscript"/>
          <w:lang w:eastAsia="ja-JP"/>
        </w:rPr>
        <w:t>31</w:t>
      </w:r>
      <w:r w:rsidRPr="00A826C1">
        <w:rPr>
          <w:rFonts w:ascii="Times New Roman" w:hAnsi="Times New Roman" w:cs="Times New Roman"/>
          <w:lang w:eastAsia="ja-JP"/>
        </w:rPr>
        <w:fldChar w:fldCharType="end"/>
      </w:r>
      <w:r w:rsidRPr="00A826C1">
        <w:rPr>
          <w:rFonts w:ascii="Times New Roman" w:hAnsi="Times New Roman" w:cs="Times New Roman"/>
          <w:lang w:eastAsia="ja-JP"/>
        </w:rPr>
        <w:t>. However, if reimbursements are based on the incidence of readmission alone and are not adjusted properly for patient-specific risk, no hospital will provide service to high-risk patients. SSI is one of the most common causes for hospital readmission</w:t>
      </w:r>
      <w:r w:rsidRPr="00A826C1">
        <w:rPr>
          <w:rFonts w:ascii="Times New Roman" w:hAnsi="Times New Roman" w:cs="Times New Roman"/>
          <w:lang w:eastAsia="ja-JP"/>
        </w:rPr>
        <w:fldChar w:fldCharType="begin" w:fldLock="1"/>
      </w:r>
      <w:r w:rsidR="0080515B">
        <w:rPr>
          <w:rFonts w:ascii="Times New Roman" w:hAnsi="Times New Roman" w:cs="Times New Roman"/>
          <w:lang w:eastAsia="ja-JP"/>
        </w:rPr>
        <w:instrText>ADDIN CSL_CITATION { "citationItems" : [ { "id" : "ITEM-1", "itemData" : { "DOI" : "10.1097/BRS.0000000000000857", "ISSN" : "0362-2436", "PMID" : "26091156", "abstract" : "STUDY DESIGN Retrospective review. OBJECTIVE To investigate the rates and reasons for unplanned readmissions and reoperation after pediatric spinal fusion surgery at our institution and to identify risk factors by analyzing patient and surgical characteristics. Unplanned readmission and reoperation were defined as unplanned events within 90 days of the index surgery. SUMMARY OF BACKGROUND DATA The rate of unplanned readmission and reoperation after pediatric spinal fusion surgery is not well established. METHODS Clinical records were reviewed for all children who underwent spinal fusion surgical procedures for spinal deformity correction performed by 1 surgeon from 2000 through 2013 at our institution. Inclusion criteria were age of 10 to 18 years at surgery, fusion spanning more than 5 vertebral levels, and 3 months of clinical or radiographical follow-up (1002 patients met these criteria). Univariate and multivariate logistic regression models were created. Statistical significance was set at a P value of less than 0.05 for all analyses. RESULTS The overall 90-day unplanned readmission and reoperation rates were 8.0% and 3.8%, respectively. The most common causes of readmission were wound dehiscence (1.8%), deep wound infection (1.5%), pulmonary complications (1%), and superficial wound infection (0.9%). Univariate analysis showed that readmission was significantly associated with a higher number of levels fused, greater estimated blood loss, longer length of stay, and certain diagnoses; reoperation was significantly associated with a higher number of levels fused and certain diagnoses. On multivariate analysis, only patient diagnosis was found to be significantly associated with readmission and reoperation; patients with congenital scoliosis, genetic or syndromic scoliosis, cerebral palsy, and other neuromuscular disorders had significantly higher rates. CONCLUSION Unplanned readmission rate after pediatric spinal fusion surgery was 8%, most commonly for wound dehiscence and deep and superficial infections. Increased intraoperative blood loss, higher number of levels fused, and certain diagnoses are risk factors for unplanned readmission. LEVEL OF EVIDENCE 4.", "author" : [ { "dropping-particle" : "", "family" : "Jain", "given" : "Amit", "non-dropping-particle" : "", "parse-names" : false, "suffix" : "" }, { "dropping-particle" : "", "family" : "Puvanesarajah", "given" : "Varun", "non-dropping-particle" : "", "parse-names" : false, "suffix" : "" }, { "dropping-particle" : "", "family" : "Menga", "given" : "Emmanuel N.", "non-dropping-particle" : "", "parse-names" : false, "suffix" : "" }, { "dropping-particle" : "", "family" : "Sponseller", "given" : "Paul D.", "non-dropping-particle" : "", "parse-names" : false, "suffix" : "" } ], "container-title" : "Spine", "id" : "ITEM-1", "issue" : "11", "issued" : { "date-parts" : [ [ "2015", "6", "1" ] ] }, "page" : "856-862", "title" : "Unplanned Hospital Readmissions and Reoperations After Pediatric Spinal Fusion Surgery", "type" : "article-journal", "volume" : "40" }, "uris" : [ "http://www.mendeley.com/documents/?uuid=2c9fc926-bbf0-3a75-bbde-41840015083f" ] }, { "id" : "ITEM-2", "itemData" : { "DOI" : "10.3171/2016.2.PEDS15604", "ISSN" : "1933-0707", "PMID" : "27184348", "abstract" : "OBJECTIVE Hospital readmission rate is increasingly used as a quality outcome measure after surgery. The purpose of this study was to establish, using a national database, the baseline readmission rates and risk factors for patient readmission after pediatric neurosurgical procedures. METHODS The American College of Surgeons National Surgical Quality Improvement Program-Pediatric database was queried for pediatric patients treated by a neurosurgeon between 2012 and 2013. Procedures were categorized by current procedural terminology (CPT) code. Patient demographics, comorbidities, preoperative laboratory values, operative variables, and postoperative complications were analyzed via univariate and multivariate techniques to find associations with unplanned readmissions within 30 days of the primary procedure. RESULTS A total of 9799 cases met the inclusion criteria, 1098 (11.2%) of which had an unplanned readmission within 30 days. Readmission occurred 14.0 \u00b1 7.7 days postoperatively (mean \u00b1 standard deviation). The 4 procedures with the highest unplanned readmission rates were CSF shunt revision (17.3%; CPT codes 62225 and 62230), repair of myelomeningocele &gt; 5 cm in diameter (15.4%), CSF shunt creation (14.1%), and craniectomy for infratentorial tumor excision (13.9%). The lowest unplanned readmission rates were for spine (6.5%), craniotomy for craniosynostosis (2.1%), and skin lesion (1.0%) procedures. On multivariate regression analysis, the odds of readmission were greatest in patients experiencing postoperative surgical site infection (SSI; deep, organ/space, superficial SSI, and wound disruption: OR &gt; 12 and p &lt; 0.001 for each). Postoperative pneumonia (OR 4.294, p &lt; 0.001), urinary tract infection (OR 4.262, p &lt; 0.001), and sepsis (OR 2.616, p = 0.006) also independently increased the readmission risk. Independent patient risk factors for unplanned readmission included Native American race (OR 2.363, p = 0.019), steroid use &gt; 10 days (OR 1.411, p = 0.010), oxygen supplementation (OR 1.645, p = 0.010), nutritional support (OR 1.403, p = 0.009), seizure disorder (OR 1.250, p = 0.021), and longer operative time (per hour increase, OR 1.059, p = 0.029). CONCLUSIONS This study may aid in identifying patients at risk for unplanned readmission following pediatric neurosurgery, potentially helping to focus efforts at lowering readmission rates, minimizing patient risk, and lowering costs for health care systems.", "author" : [ { "dropping-particle" : "", "family" : "Sherrod", "given" : "Brandon A.", "non-dropping-particle" : "", "parse-names" : false, "suffix" : "" }, { "dropping-particle" : "", "family" : "Johnston", "given" : "James M.", "non-dropping-particle" : "", "parse-names" : false, "suffix" : "" }, { "dropping-particle" : "", "family" : "Rocque", "given" : "Brandon G.", "non-dropping-particle" : "", "parse-names" : false, "suffix" : "" } ], "container-title" : "Journal of Neurosurgery: Pediatrics", "id" : "ITEM-2", "issue" : "3", "issued" : { "date-parts" : [ [ "2016", "9" ] ] }, "page" : "350-362", "title" : "Risk factors for unplanned readmission within 30 days after pediatric neurosurgery: a nationwide analysis of 9799 procedures from the American College of Surgeons National Surgical Quality Improvement Program", "type" : "article-journal", "volume" : "18" }, "uris" : [ "http://www.mendeley.com/documents/?uuid=ff554134-3c96-3d2f-a78d-2264115569c9" ] }, { "id" : "ITEM-3", "itemData" : { "DOI" : "10.1007/s11999-014-3911-4", "ISBN" : "1199901439114", "ISSN" : "15281132", "PMID" : "25201091", "abstract" : "BACKGROUND: Posterior spinal fusion (PSF) is commonly performed for patients with adolescent idiopathic scoliosis (AIS). Identifying factors associated with perioperative morbidity and PSF may lead to strategies for reducing the frequency of adverse events (AEs) in patients and total hospital costs.\\n\\nQUESTIONS/PURPOSES: What is the frequency of and what factors are associated with postoperative: (1) AEs, (2) extended length of stay (LOS), and (3) readmission in patients with AIS undergoing PSF?\\n\\nPATIENTS AND METHODS: Patients, aged 11 to 18 years, who underwent PSF for AIS during 2012, were identified from the American College of Surgeons National Surgical Quality Improvement Program\u00ae (ACS NSQIP\u00ae) Pediatric database. Patient were assessed for characteristics associated with AEs, extended LOS (defined as more than 6 days), and hospital readmission using multivariate logistic regression. Individual AEs captured in the database were grouped into two categories, \"any adverse event\" (AAE) and \"severe adverse events\" (SAEs) for analysis. A total of 733 patients met inclusion criteria.\\n\\nRESULTS: Twenty-seven patients (3.7%) had AAE and 19 patients (2.6%) had SAEs. Both AAE and SAEs were associated with BMI-for-age ninety-fifth percentile or greater (AAE: odds ratio [OR], 3.31; 95% CI, 1.43-7.65; p=0.005. SAE: OR, 3.46; 95% CI, 1.32-9.09; p=0.012). Extended LOS occurred for 60 patients (8.2%) and was associated with greater than 13 levels instrumented (OR, 2.00; 95% CI, 1.11-3.61; p=0.021) and operative time of 365 minutes or more (OR, 2.57; 95% CI, 1.39-4.76; p=0.003). Readmission occurred for 11 patients (1.5%), most often for surgical site infection, and was associated with the occurrence of any complication during the initial hospital stay (OR, 180.44; 95% CI, 35.47-917.97; p&lt;0.001).\\n\\nCONCLUSIONS: Further research on prevention and management of obesity and surgical site infections may reduce perioperative morbidity for patients with AIS undergoing PSF.\\n\\nLEVEL OF EVIDENCE: Level III, prognostic study. See Instructions for Authors for a complete description of levels of evidence.", "author" : [ { "dropping-particle" : "", "family" : "Basques", "given" : "Bryce A.", "non-dropping-particle" : "", "parse-names" : false, "suffix" : "" }, { "dropping-particle" : "", "family" : "Bohl", "given" : "Daniel D.", "non-dropping-particle" : "", "parse-names" : false, "suffix" : "" }, { "dropping-particle" : "", "family" : "Golinvaux", "given" : "Nicholas S.", "non-dropping-particle" : "", "parse-names" : false, "suffix" : "" }, { "dropping-particle" : "", "family" : "Smith", "given" : "Brian G.", "non-dropping-particle" : "", "parse-names" : false, "suffix" : "" }, { "dropping-particle" : "", "family" : "Grauer", "given" : "Jonathan N.", "non-dropping-particle" : "", "parse-names" : false, "suffix" : "" } ], "container-title" : "Clinical Orthopaedics and Related Research", "id" : "ITEM-3", "issue" : "1", "issued" : { "date-parts" : [ [ "2015" ] ] }, "page" : "286-294", "title" : "Patient Factors Are Associated With Poor Short-term Outcomes After Posterior Fusion for Adolescent Idiopathic Scoliosis", "type" : "article-journal", "volume" : "473" }, "uris" : [ "http://www.mendeley.com/documents/?uuid=4f457944-c837-43e2-aaaa-6acb79c93c3e" ] } ], "mendeley" : { "formattedCitation" : "&lt;sup&gt;18,32,33&lt;/sup&gt;", "plainTextFormattedCitation" : "18,32,33", "previouslyFormattedCitation" : "&lt;sup&gt;18,28,29&lt;/sup&gt;" }, "properties" : { "noteIndex" : 0 }, "schema" : "https://github.com/citation-style-language/schema/raw/master/csl-citation.json" }</w:instrText>
      </w:r>
      <w:r w:rsidRPr="00A826C1">
        <w:rPr>
          <w:rFonts w:ascii="Times New Roman" w:hAnsi="Times New Roman" w:cs="Times New Roman"/>
          <w:lang w:eastAsia="ja-JP"/>
        </w:rPr>
        <w:fldChar w:fldCharType="separate"/>
      </w:r>
      <w:r w:rsidR="0080515B" w:rsidRPr="0080515B">
        <w:rPr>
          <w:rFonts w:ascii="Times New Roman" w:hAnsi="Times New Roman" w:cs="Times New Roman"/>
          <w:noProof/>
          <w:vertAlign w:val="superscript"/>
          <w:lang w:eastAsia="ja-JP"/>
        </w:rPr>
        <w:t>18,32,33</w:t>
      </w:r>
      <w:r w:rsidRPr="00A826C1">
        <w:rPr>
          <w:rFonts w:ascii="Times New Roman" w:hAnsi="Times New Roman" w:cs="Times New Roman"/>
          <w:lang w:eastAsia="ja-JP"/>
        </w:rPr>
        <w:fldChar w:fldCharType="end"/>
      </w:r>
      <w:r w:rsidRPr="00A826C1">
        <w:rPr>
          <w:rFonts w:ascii="Times New Roman" w:hAnsi="Times New Roman" w:cs="Times New Roman"/>
          <w:lang w:eastAsia="ja-JP"/>
        </w:rPr>
        <w:t xml:space="preserve"> and the risk prediction model for SSI can be a useful risk adjustment tool to calculate incidence of readmission with standardized risk. This risk-standardized readmission then can be used for hospital comparison, public reporting, and reimbursement determinations. </w:t>
      </w:r>
    </w:p>
    <w:p w14:paraId="27310CDB" w14:textId="4C209856" w:rsidR="00234072" w:rsidRPr="00234072" w:rsidRDefault="00234072" w:rsidP="00234072">
      <w:pPr>
        <w:rPr>
          <w:rFonts w:ascii="Times New Roman" w:hAnsi="Times New Roman" w:cs="Times New Roman"/>
          <w:lang w:eastAsia="ja-JP"/>
        </w:rPr>
      </w:pPr>
      <w:r>
        <w:rPr>
          <w:rFonts w:ascii="Times New Roman" w:hAnsi="Times New Roman" w:cs="Times New Roman"/>
          <w:lang w:eastAsia="ja-JP"/>
        </w:rPr>
        <w:tab/>
      </w:r>
      <w:r w:rsidRPr="00234072">
        <w:rPr>
          <w:rFonts w:ascii="Times New Roman" w:hAnsi="Times New Roman" w:cs="Times New Roman"/>
          <w:lang w:eastAsia="ja-JP"/>
        </w:rPr>
        <w:t>This study had a number of strengths including the large number of patients, multiple participating sites, and utilization of two national registries known to have participation in number of surgeons who treat patients with EOS. It allowed us to investigate</w:t>
      </w:r>
      <w:r>
        <w:rPr>
          <w:rFonts w:ascii="Times New Roman" w:hAnsi="Times New Roman" w:cs="Times New Roman"/>
          <w:lang w:eastAsia="ja-JP"/>
        </w:rPr>
        <w:t xml:space="preserve"> the</w:t>
      </w:r>
      <w:r w:rsidRPr="00234072">
        <w:rPr>
          <w:rFonts w:ascii="Times New Roman" w:hAnsi="Times New Roman" w:cs="Times New Roman"/>
          <w:lang w:eastAsia="ja-JP"/>
        </w:rPr>
        <w:t xml:space="preserve"> predictive effect of </w:t>
      </w:r>
      <w:r>
        <w:rPr>
          <w:rFonts w:ascii="Times New Roman" w:hAnsi="Times New Roman" w:cs="Times New Roman"/>
          <w:lang w:eastAsia="ja-JP"/>
        </w:rPr>
        <w:t>a number of variables relating to</w:t>
      </w:r>
      <w:r w:rsidRPr="00234072">
        <w:rPr>
          <w:rFonts w:ascii="Times New Roman" w:hAnsi="Times New Roman" w:cs="Times New Roman"/>
          <w:lang w:eastAsia="ja-JP"/>
        </w:rPr>
        <w:t xml:space="preserve"> SSI includin</w:t>
      </w:r>
      <w:r>
        <w:rPr>
          <w:rFonts w:ascii="Times New Roman" w:hAnsi="Times New Roman" w:cs="Times New Roman"/>
          <w:lang w:eastAsia="ja-JP"/>
        </w:rPr>
        <w:t>g wide range of comorbidities. However, one</w:t>
      </w:r>
      <w:r w:rsidRPr="00234072">
        <w:rPr>
          <w:rFonts w:ascii="Times New Roman" w:hAnsi="Times New Roman" w:cs="Times New Roman"/>
          <w:lang w:eastAsia="ja-JP"/>
        </w:rPr>
        <w:t xml:space="preserve"> limitation of this study includes reliance of registry data, which may be subject to misclassifications of explored variables and SSI status</w:t>
      </w:r>
      <w:r>
        <w:rPr>
          <w:rFonts w:ascii="Times New Roman" w:hAnsi="Times New Roman" w:cs="Times New Roman"/>
          <w:lang w:eastAsia="ja-JP"/>
        </w:rPr>
        <w:t xml:space="preserve"> due to its nature of being entered by individual sites</w:t>
      </w:r>
      <w:r w:rsidRPr="00234072">
        <w:rPr>
          <w:rFonts w:ascii="Times New Roman" w:hAnsi="Times New Roman" w:cs="Times New Roman"/>
          <w:lang w:eastAsia="ja-JP"/>
        </w:rPr>
        <w:t>. Data e</w:t>
      </w:r>
      <w:r w:rsidR="003D0789">
        <w:rPr>
          <w:rFonts w:ascii="Times New Roman" w:hAnsi="Times New Roman" w:cs="Times New Roman"/>
          <w:lang w:eastAsia="ja-JP"/>
        </w:rPr>
        <w:t>ntry at each participating site</w:t>
      </w:r>
      <w:r w:rsidRPr="00234072">
        <w:rPr>
          <w:rFonts w:ascii="Times New Roman" w:hAnsi="Times New Roman" w:cs="Times New Roman"/>
          <w:lang w:eastAsia="ja-JP"/>
        </w:rPr>
        <w:t xml:space="preserve"> </w:t>
      </w:r>
      <w:r w:rsidR="003D0789">
        <w:rPr>
          <w:rFonts w:ascii="Times New Roman" w:hAnsi="Times New Roman" w:cs="Times New Roman"/>
          <w:lang w:eastAsia="ja-JP"/>
        </w:rPr>
        <w:t>requires</w:t>
      </w:r>
      <w:r w:rsidRPr="00234072">
        <w:rPr>
          <w:rFonts w:ascii="Times New Roman" w:hAnsi="Times New Roman" w:cs="Times New Roman"/>
          <w:lang w:eastAsia="ja-JP"/>
        </w:rPr>
        <w:t xml:space="preserve"> retrospective review of the patient charts by research personnel at all levels. If assessment of variables and their data entry were performed at the time of SSI occurrence, differential misclassification may occur and lead to information bias. For example, given the presence of SSI, research personnel may rigorously search for comorbidities whereas they may not do so in the absence of SSI. Selection bias due to loss to follow up </w:t>
      </w:r>
      <w:r w:rsidR="003D0789">
        <w:rPr>
          <w:rFonts w:ascii="Times New Roman" w:hAnsi="Times New Roman" w:cs="Times New Roman"/>
          <w:lang w:eastAsia="ja-JP"/>
        </w:rPr>
        <w:t>should</w:t>
      </w:r>
      <w:r w:rsidRPr="00234072">
        <w:rPr>
          <w:rFonts w:ascii="Times New Roman" w:hAnsi="Times New Roman" w:cs="Times New Roman"/>
          <w:lang w:eastAsia="ja-JP"/>
        </w:rPr>
        <w:t xml:space="preserve"> not be an issue in this study as the time of SSI to occur is within 90 days. The developed RSS identifi</w:t>
      </w:r>
      <w:r w:rsidR="003D0789">
        <w:rPr>
          <w:rFonts w:ascii="Times New Roman" w:hAnsi="Times New Roman" w:cs="Times New Roman"/>
          <w:lang w:eastAsia="ja-JP"/>
        </w:rPr>
        <w:t>es the high-risk patients, who</w:t>
      </w:r>
      <w:r w:rsidRPr="00234072">
        <w:rPr>
          <w:rFonts w:ascii="Times New Roman" w:hAnsi="Times New Roman" w:cs="Times New Roman"/>
          <w:lang w:eastAsia="ja-JP"/>
        </w:rPr>
        <w:t xml:space="preserve"> possess etiol</w:t>
      </w:r>
      <w:r w:rsidR="003D0789">
        <w:rPr>
          <w:rFonts w:ascii="Times New Roman" w:hAnsi="Times New Roman" w:cs="Times New Roman"/>
          <w:lang w:eastAsia="ja-JP"/>
        </w:rPr>
        <w:t>ogies and comorbidities that are not able to be manipulated</w:t>
      </w:r>
      <w:r w:rsidRPr="00234072">
        <w:rPr>
          <w:rFonts w:ascii="Times New Roman" w:hAnsi="Times New Roman" w:cs="Times New Roman"/>
          <w:lang w:eastAsia="ja-JP"/>
        </w:rPr>
        <w:t>. Therefore the important next step</w:t>
      </w:r>
      <w:r w:rsidR="003D0789">
        <w:rPr>
          <w:rFonts w:ascii="Times New Roman" w:hAnsi="Times New Roman" w:cs="Times New Roman"/>
          <w:lang w:eastAsia="ja-JP"/>
        </w:rPr>
        <w:t xml:space="preserve"> in minimizing SSI in these high risk patients</w:t>
      </w:r>
      <w:r w:rsidRPr="00234072">
        <w:rPr>
          <w:rFonts w:ascii="Times New Roman" w:hAnsi="Times New Roman" w:cs="Times New Roman"/>
          <w:lang w:eastAsia="ja-JP"/>
        </w:rPr>
        <w:t xml:space="preserve"> is to create</w:t>
      </w:r>
      <w:r w:rsidR="003D0789">
        <w:rPr>
          <w:rFonts w:ascii="Times New Roman" w:hAnsi="Times New Roman" w:cs="Times New Roman"/>
          <w:lang w:eastAsia="ja-JP"/>
        </w:rPr>
        <w:t xml:space="preserve"> a</w:t>
      </w:r>
      <w:r w:rsidRPr="00234072">
        <w:rPr>
          <w:rFonts w:ascii="Times New Roman" w:hAnsi="Times New Roman" w:cs="Times New Roman"/>
          <w:lang w:eastAsia="ja-JP"/>
        </w:rPr>
        <w:t xml:space="preserve"> RSS including surgical procedures and perioperative managements including antibiotic prophylaxis regimen.</w:t>
      </w:r>
    </w:p>
    <w:p w14:paraId="5A467AF2" w14:textId="52E15693" w:rsidR="00AD2172" w:rsidRDefault="00234072" w:rsidP="00C03A6B">
      <w:pPr>
        <w:rPr>
          <w:rFonts w:ascii="Times New Roman" w:hAnsi="Times New Roman" w:cs="Times New Roman"/>
          <w:lang w:eastAsia="ja-JP"/>
        </w:rPr>
      </w:pPr>
      <w:r w:rsidRPr="00234072">
        <w:rPr>
          <w:rFonts w:ascii="Times New Roman" w:hAnsi="Times New Roman" w:cs="Times New Roman"/>
          <w:lang w:eastAsia="ja-JP"/>
        </w:rPr>
        <w:t>             Overall</w:t>
      </w:r>
      <w:r w:rsidR="003D0789">
        <w:rPr>
          <w:rFonts w:ascii="Times New Roman" w:hAnsi="Times New Roman" w:cs="Times New Roman"/>
          <w:lang w:eastAsia="ja-JP"/>
        </w:rPr>
        <w:t>, this study provides a means for</w:t>
      </w:r>
      <w:r w:rsidRPr="00234072">
        <w:rPr>
          <w:rFonts w:ascii="Times New Roman" w:hAnsi="Times New Roman" w:cs="Times New Roman"/>
          <w:lang w:eastAsia="ja-JP"/>
        </w:rPr>
        <w:t xml:space="preserve"> predicting SSI in high-risk patients with EOS using preoperatively-known characteristics. By basing patient-specific RSS on preoperatively-known characteristics, we sought to be able to use it as a means of educating patients and families about their risk of SSI at the time of preoperative counseling and use it as a guide for shared decision making. Given the shifting insurance landscape and implementation of pay-for-performance policies, the ability to compare risk of SSI in different hospitals will be necessary. The development of RSS with high predictive perf</w:t>
      </w:r>
      <w:r w:rsidR="003D0789">
        <w:rPr>
          <w:rFonts w:ascii="Times New Roman" w:hAnsi="Times New Roman" w:cs="Times New Roman"/>
          <w:lang w:eastAsia="ja-JP"/>
        </w:rPr>
        <w:t xml:space="preserve">ormance and a focus on ease of </w:t>
      </w:r>
      <w:r w:rsidRPr="00234072">
        <w:rPr>
          <w:rFonts w:ascii="Times New Roman" w:hAnsi="Times New Roman" w:cs="Times New Roman"/>
          <w:lang w:eastAsia="ja-JP"/>
        </w:rPr>
        <w:t>implementation thus deserves our collective attention. </w:t>
      </w:r>
    </w:p>
    <w:p w14:paraId="3812B5A1" w14:textId="77777777" w:rsidR="00AD2172" w:rsidRDefault="00AD2172" w:rsidP="00C03A6B">
      <w:pPr>
        <w:rPr>
          <w:rFonts w:ascii="Times New Roman" w:hAnsi="Times New Roman" w:cs="Times New Roman"/>
          <w:lang w:eastAsia="ja-JP"/>
        </w:rPr>
      </w:pPr>
    </w:p>
    <w:p w14:paraId="40CEA573" w14:textId="77777777" w:rsidR="00AD2172" w:rsidRDefault="00AD2172" w:rsidP="00C03A6B">
      <w:pPr>
        <w:rPr>
          <w:rFonts w:ascii="Times New Roman" w:hAnsi="Times New Roman" w:cs="Times New Roman"/>
          <w:lang w:eastAsia="ja-JP"/>
        </w:rPr>
      </w:pPr>
    </w:p>
    <w:p w14:paraId="45F4CB23" w14:textId="77777777" w:rsidR="00AD2172" w:rsidRPr="002E0F4E" w:rsidRDefault="00AD2172" w:rsidP="00AD2172">
      <w:pPr>
        <w:rPr>
          <w:rFonts w:ascii="Times New Roman" w:hAnsi="Times New Roman" w:cs="Times New Roman"/>
          <w:b/>
          <w:lang w:eastAsia="ja-JP"/>
        </w:rPr>
      </w:pPr>
      <w:r>
        <w:rPr>
          <w:rFonts w:ascii="Times New Roman" w:hAnsi="Times New Roman" w:cs="Times New Roman"/>
          <w:b/>
          <w:lang w:eastAsia="ja-JP"/>
        </w:rPr>
        <w:t>Bibliography</w:t>
      </w:r>
    </w:p>
    <w:p w14:paraId="0D52551E" w14:textId="078B74BA" w:rsidR="0080515B" w:rsidRPr="0080515B" w:rsidRDefault="00AD2172" w:rsidP="0080515B">
      <w:pPr>
        <w:widowControl w:val="0"/>
        <w:autoSpaceDE w:val="0"/>
        <w:autoSpaceDN w:val="0"/>
        <w:adjustRightInd w:val="0"/>
        <w:ind w:left="640" w:hanging="640"/>
        <w:rPr>
          <w:rFonts w:ascii="Times New Roman" w:hAnsi="Times New Roman" w:cs="Times New Roman"/>
          <w:noProof/>
        </w:rPr>
      </w:pPr>
      <w:r>
        <w:rPr>
          <w:rFonts w:ascii="Times New Roman" w:hAnsi="Times New Roman" w:cs="Times New Roman"/>
          <w:lang w:eastAsia="ja-JP"/>
        </w:rPr>
        <w:fldChar w:fldCharType="begin" w:fldLock="1"/>
      </w:r>
      <w:r>
        <w:rPr>
          <w:rFonts w:ascii="Times New Roman" w:hAnsi="Times New Roman" w:cs="Times New Roman"/>
          <w:lang w:eastAsia="ja-JP"/>
        </w:rPr>
        <w:instrText xml:space="preserve">ADDIN Mendeley Bibliography CSL_BIBLIOGRAPHY </w:instrText>
      </w:r>
      <w:r>
        <w:rPr>
          <w:rFonts w:ascii="Times New Roman" w:hAnsi="Times New Roman" w:cs="Times New Roman"/>
          <w:lang w:eastAsia="ja-JP"/>
        </w:rPr>
        <w:fldChar w:fldCharType="separate"/>
      </w:r>
      <w:r w:rsidR="0080515B" w:rsidRPr="0080515B">
        <w:rPr>
          <w:rFonts w:ascii="Times New Roman" w:hAnsi="Times New Roman" w:cs="Times New Roman"/>
          <w:noProof/>
        </w:rPr>
        <w:t xml:space="preserve">1. </w:t>
      </w:r>
      <w:r w:rsidR="0080515B" w:rsidRPr="0080515B">
        <w:rPr>
          <w:rFonts w:ascii="Times New Roman" w:hAnsi="Times New Roman" w:cs="Times New Roman"/>
          <w:noProof/>
        </w:rPr>
        <w:tab/>
        <w:t xml:space="preserve">Glotzbecker MP, Vitale MG, Shea KG, Flynn JM. Surgeon Practices Regarding Infection Prevention for Pediatric Spinal Surgery. </w:t>
      </w:r>
      <w:r w:rsidR="0080515B" w:rsidRPr="0080515B">
        <w:rPr>
          <w:rFonts w:ascii="Times New Roman" w:hAnsi="Times New Roman" w:cs="Times New Roman"/>
          <w:i/>
          <w:iCs/>
          <w:noProof/>
        </w:rPr>
        <w:t>J Pediatr Orthop</w:t>
      </w:r>
      <w:r w:rsidR="0080515B" w:rsidRPr="0080515B">
        <w:rPr>
          <w:rFonts w:ascii="Times New Roman" w:hAnsi="Times New Roman" w:cs="Times New Roman"/>
          <w:noProof/>
        </w:rPr>
        <w:t>. 2013;33(7):694-699. doi:10.1097/BPO.0b013e31829241b8.</w:t>
      </w:r>
    </w:p>
    <w:p w14:paraId="2A98280E"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2. </w:t>
      </w:r>
      <w:r w:rsidRPr="0080515B">
        <w:rPr>
          <w:rFonts w:ascii="Times New Roman" w:hAnsi="Times New Roman" w:cs="Times New Roman"/>
          <w:noProof/>
        </w:rPr>
        <w:tab/>
        <w:t xml:space="preserve">McLeod LM, Keren R, Gerber J, et al. Perioperative antibiotic use for spinal surgery procedures in US children’s hospitals. </w:t>
      </w:r>
      <w:r w:rsidRPr="0080515B">
        <w:rPr>
          <w:rFonts w:ascii="Times New Roman" w:hAnsi="Times New Roman" w:cs="Times New Roman"/>
          <w:i/>
          <w:iCs/>
          <w:noProof/>
        </w:rPr>
        <w:t>Spine (Phila Pa 1976)</w:t>
      </w:r>
      <w:r w:rsidRPr="0080515B">
        <w:rPr>
          <w:rFonts w:ascii="Times New Roman" w:hAnsi="Times New Roman" w:cs="Times New Roman"/>
          <w:noProof/>
        </w:rPr>
        <w:t>. 2013;38(7):609-616. doi:10.1097/BRS.0b013e318289b690.</w:t>
      </w:r>
    </w:p>
    <w:p w14:paraId="2A4577DB"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3. </w:t>
      </w:r>
      <w:r w:rsidRPr="0080515B">
        <w:rPr>
          <w:rFonts w:ascii="Times New Roman" w:hAnsi="Times New Roman" w:cs="Times New Roman"/>
          <w:noProof/>
        </w:rPr>
        <w:tab/>
        <w:t xml:space="preserve">McLeod LM, French B, Flynn JM, Dormans JP, Keren R. Antifibrinolytic Use and Blood Transfusions in Pediatric Scoliosis Surgeries Performed at US Children’s Hospitals. </w:t>
      </w:r>
      <w:r w:rsidRPr="0080515B">
        <w:rPr>
          <w:rFonts w:ascii="Times New Roman" w:hAnsi="Times New Roman" w:cs="Times New Roman"/>
          <w:i/>
          <w:iCs/>
          <w:noProof/>
        </w:rPr>
        <w:t xml:space="preserve">J </w:t>
      </w:r>
      <w:r w:rsidRPr="0080515B">
        <w:rPr>
          <w:rFonts w:ascii="Times New Roman" w:hAnsi="Times New Roman" w:cs="Times New Roman"/>
          <w:i/>
          <w:iCs/>
          <w:noProof/>
        </w:rPr>
        <w:lastRenderedPageBreak/>
        <w:t>Spinal Disord Tech</w:t>
      </w:r>
      <w:r w:rsidRPr="0080515B">
        <w:rPr>
          <w:rFonts w:ascii="Times New Roman" w:hAnsi="Times New Roman" w:cs="Times New Roman"/>
          <w:noProof/>
        </w:rPr>
        <w:t>. 2015;28(8):E460-E466. doi:10.1097/BSD.0b013e3182a22a54.</w:t>
      </w:r>
    </w:p>
    <w:p w14:paraId="4613CD12"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4. </w:t>
      </w:r>
      <w:r w:rsidRPr="0080515B">
        <w:rPr>
          <w:rFonts w:ascii="Times New Roman" w:hAnsi="Times New Roman" w:cs="Times New Roman"/>
          <w:noProof/>
        </w:rPr>
        <w:tab/>
        <w:t xml:space="preserve">Mackenzie WGS, Matsumoto H, Williams BA, et al. Surgical site infection following spinal instrumentation for scoliosis: a multicenter analysis of rates, risk factors, and pathogens. </w:t>
      </w:r>
      <w:r w:rsidRPr="0080515B">
        <w:rPr>
          <w:rFonts w:ascii="Times New Roman" w:hAnsi="Times New Roman" w:cs="Times New Roman"/>
          <w:i/>
          <w:iCs/>
          <w:noProof/>
        </w:rPr>
        <w:t>J Bone Joint Surg Am</w:t>
      </w:r>
      <w:r w:rsidRPr="0080515B">
        <w:rPr>
          <w:rFonts w:ascii="Times New Roman" w:hAnsi="Times New Roman" w:cs="Times New Roman"/>
          <w:noProof/>
        </w:rPr>
        <w:t>. 2013;95(9):800-806, S1-2. doi:10.2106/JBJS.L.00010.</w:t>
      </w:r>
    </w:p>
    <w:p w14:paraId="00AF1471"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5. </w:t>
      </w:r>
      <w:r w:rsidRPr="0080515B">
        <w:rPr>
          <w:rFonts w:ascii="Times New Roman" w:hAnsi="Times New Roman" w:cs="Times New Roman"/>
          <w:noProof/>
        </w:rPr>
        <w:tab/>
        <w:t xml:space="preserve">Croft LD, Pottinger JM, Chiang H-Y, Ziebold CS, Weinstein SL, Herwaldt L a. Risk factors for surgical site infections after pediatric spine operations. </w:t>
      </w:r>
      <w:r w:rsidRPr="0080515B">
        <w:rPr>
          <w:rFonts w:ascii="Times New Roman" w:hAnsi="Times New Roman" w:cs="Times New Roman"/>
          <w:i/>
          <w:iCs/>
          <w:noProof/>
        </w:rPr>
        <w:t>Spine (Phila Pa 1976)</w:t>
      </w:r>
      <w:r w:rsidRPr="0080515B">
        <w:rPr>
          <w:rFonts w:ascii="Times New Roman" w:hAnsi="Times New Roman" w:cs="Times New Roman"/>
          <w:noProof/>
        </w:rPr>
        <w:t>. 2015;40(2):E112-9. doi:10.1097/BRS.0000000000000693.</w:t>
      </w:r>
    </w:p>
    <w:p w14:paraId="57AFF1EA"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6. </w:t>
      </w:r>
      <w:r w:rsidRPr="0080515B">
        <w:rPr>
          <w:rFonts w:ascii="Times New Roman" w:hAnsi="Times New Roman" w:cs="Times New Roman"/>
          <w:noProof/>
        </w:rPr>
        <w:tab/>
        <w:t xml:space="preserve">McLeod L, Flynn J, Erickson M, Miller N, Keren R, Dormans J. Variation in 60-day Readmission for Surgical-site Infections (SSIs) and Reoperation Following Spinal Fusion Operations for Neuromuscular Scoliosis. </w:t>
      </w:r>
      <w:r w:rsidRPr="0080515B">
        <w:rPr>
          <w:rFonts w:ascii="Times New Roman" w:hAnsi="Times New Roman" w:cs="Times New Roman"/>
          <w:i/>
          <w:iCs/>
          <w:noProof/>
        </w:rPr>
        <w:t>J Pediatr Orthop</w:t>
      </w:r>
      <w:r w:rsidRPr="0080515B">
        <w:rPr>
          <w:rFonts w:ascii="Times New Roman" w:hAnsi="Times New Roman" w:cs="Times New Roman"/>
          <w:noProof/>
        </w:rPr>
        <w:t>. 2015;0(0):1-6. doi:10.1097/BPO.0000000000000495.</w:t>
      </w:r>
    </w:p>
    <w:p w14:paraId="13E08710"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7. </w:t>
      </w:r>
      <w:r w:rsidRPr="0080515B">
        <w:rPr>
          <w:rFonts w:ascii="Times New Roman" w:hAnsi="Times New Roman" w:cs="Times New Roman"/>
          <w:noProof/>
        </w:rPr>
        <w:tab/>
        <w:t xml:space="preserve">Salsgiver E, Crotty J, LaRussa SJ, et al. Surgical Site Infections following Spine Surgery for Non-idiopathic Scoliosis. </w:t>
      </w:r>
      <w:r w:rsidRPr="0080515B">
        <w:rPr>
          <w:rFonts w:ascii="Times New Roman" w:hAnsi="Times New Roman" w:cs="Times New Roman"/>
          <w:i/>
          <w:iCs/>
          <w:noProof/>
        </w:rPr>
        <w:t>J Pediatr Orthop</w:t>
      </w:r>
      <w:r w:rsidRPr="0080515B">
        <w:rPr>
          <w:rFonts w:ascii="Times New Roman" w:hAnsi="Times New Roman" w:cs="Times New Roman"/>
          <w:noProof/>
        </w:rPr>
        <w:t>. February 2016:1. doi:10.1097/BPO.0000000000000727.</w:t>
      </w:r>
    </w:p>
    <w:p w14:paraId="27AA22B7"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8. </w:t>
      </w:r>
      <w:r w:rsidRPr="0080515B">
        <w:rPr>
          <w:rFonts w:ascii="Times New Roman" w:hAnsi="Times New Roman" w:cs="Times New Roman"/>
          <w:noProof/>
        </w:rPr>
        <w:tab/>
        <w:t xml:space="preserve">Borkhuu B, Borowski A, Shah SA, Littleton AG, Dabney KW, Miller F. Antibiotic-loaded allograft decreases the rate of acute deep wound infection after spinal fusion in cerebral palsy. </w:t>
      </w:r>
      <w:r w:rsidRPr="0080515B">
        <w:rPr>
          <w:rFonts w:ascii="Times New Roman" w:hAnsi="Times New Roman" w:cs="Times New Roman"/>
          <w:i/>
          <w:iCs/>
          <w:noProof/>
        </w:rPr>
        <w:t>Spine (Phila Pa 1976)</w:t>
      </w:r>
      <w:r w:rsidRPr="0080515B">
        <w:rPr>
          <w:rFonts w:ascii="Times New Roman" w:hAnsi="Times New Roman" w:cs="Times New Roman"/>
          <w:noProof/>
        </w:rPr>
        <w:t>. 2008;33(21):2300-4 OD-2008/10/02. internal-pdf:/Borkhuu et al_Antibiotic-loaded allograft decreases deep would infection after fusion in CP_Spine 2008.pdf.</w:t>
      </w:r>
    </w:p>
    <w:p w14:paraId="45029F45"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9. </w:t>
      </w:r>
      <w:r w:rsidRPr="0080515B">
        <w:rPr>
          <w:rFonts w:ascii="Times New Roman" w:hAnsi="Times New Roman" w:cs="Times New Roman"/>
          <w:noProof/>
        </w:rPr>
        <w:tab/>
        <w:t xml:space="preserve">Coe JD, Arlet V, Donaldson W, et al. Complications in spinal fusion for adolescent idiopathic scoliosis in the new millennium. A report of the Scoliosis Research Society Morbidity and Mortality Committee. </w:t>
      </w:r>
      <w:r w:rsidRPr="0080515B">
        <w:rPr>
          <w:rFonts w:ascii="Times New Roman" w:hAnsi="Times New Roman" w:cs="Times New Roman"/>
          <w:i/>
          <w:iCs/>
          <w:noProof/>
        </w:rPr>
        <w:t>Spine (Phila Pa 1976)</w:t>
      </w:r>
      <w:r w:rsidRPr="0080515B">
        <w:rPr>
          <w:rFonts w:ascii="Times New Roman" w:hAnsi="Times New Roman" w:cs="Times New Roman"/>
          <w:noProof/>
        </w:rPr>
        <w:t>. 2006;31(3):345-349. doi:10.1097/01.brs.0000197188.76369.13.</w:t>
      </w:r>
    </w:p>
    <w:p w14:paraId="10A4FD46"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10. </w:t>
      </w:r>
      <w:r w:rsidRPr="0080515B">
        <w:rPr>
          <w:rFonts w:ascii="Times New Roman" w:hAnsi="Times New Roman" w:cs="Times New Roman"/>
          <w:noProof/>
        </w:rPr>
        <w:tab/>
        <w:t xml:space="preserve">Diab M, Smucny M, Dormans JP, et al. Use and outcomes of wound drain in spinal fusion for adolescent idiopathic scoliosis. </w:t>
      </w:r>
      <w:r w:rsidRPr="0080515B">
        <w:rPr>
          <w:rFonts w:ascii="Times New Roman" w:hAnsi="Times New Roman" w:cs="Times New Roman"/>
          <w:i/>
          <w:iCs/>
          <w:noProof/>
        </w:rPr>
        <w:t>Spine (Phila Pa 1976)</w:t>
      </w:r>
      <w:r w:rsidRPr="0080515B">
        <w:rPr>
          <w:rFonts w:ascii="Times New Roman" w:hAnsi="Times New Roman" w:cs="Times New Roman"/>
          <w:noProof/>
        </w:rPr>
        <w:t>. 2012;37(11):966-973. doi:10.1097/BRS.0b013e31823bbf0b.</w:t>
      </w:r>
    </w:p>
    <w:p w14:paraId="24952CCA"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11. </w:t>
      </w:r>
      <w:r w:rsidRPr="0080515B">
        <w:rPr>
          <w:rFonts w:ascii="Times New Roman" w:hAnsi="Times New Roman" w:cs="Times New Roman"/>
          <w:noProof/>
        </w:rPr>
        <w:tab/>
        <w:t xml:space="preserve">Heffernan MJ, Seehausen D a., Andras LM, Skaggs DL. Comparison of Outcomes After Posterior Spinal Fusion for Adolescent Idiopathic and Neuromuscular Scoliosis. </w:t>
      </w:r>
      <w:r w:rsidRPr="0080515B">
        <w:rPr>
          <w:rFonts w:ascii="Times New Roman" w:hAnsi="Times New Roman" w:cs="Times New Roman"/>
          <w:i/>
          <w:iCs/>
          <w:noProof/>
        </w:rPr>
        <w:t>Spine (Phila Pa 1976)</w:t>
      </w:r>
      <w:r w:rsidRPr="0080515B">
        <w:rPr>
          <w:rFonts w:ascii="Times New Roman" w:hAnsi="Times New Roman" w:cs="Times New Roman"/>
          <w:noProof/>
        </w:rPr>
        <w:t>. 2014;39(8):648-655. doi:10.1097/BRS.0000000000000233.</w:t>
      </w:r>
    </w:p>
    <w:p w14:paraId="09E40A5E"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12. </w:t>
      </w:r>
      <w:r w:rsidRPr="0080515B">
        <w:rPr>
          <w:rFonts w:ascii="Times New Roman" w:hAnsi="Times New Roman" w:cs="Times New Roman"/>
          <w:noProof/>
        </w:rPr>
        <w:tab/>
        <w:t xml:space="preserve">Theologis AA, Tabaraee E, Lin T, Lubicky J, Diab M, Spinal Deformity Study Group. Type of Bone Graft or Substitute Does Not Affect Outcome of Spine Fusion With Instrumentation for Adolescent Idiopathic Scoliosis. </w:t>
      </w:r>
      <w:r w:rsidRPr="0080515B">
        <w:rPr>
          <w:rFonts w:ascii="Times New Roman" w:hAnsi="Times New Roman" w:cs="Times New Roman"/>
          <w:i/>
          <w:iCs/>
          <w:noProof/>
        </w:rPr>
        <w:t>Spine (Phila Pa 1976)</w:t>
      </w:r>
      <w:r w:rsidRPr="0080515B">
        <w:rPr>
          <w:rFonts w:ascii="Times New Roman" w:hAnsi="Times New Roman" w:cs="Times New Roman"/>
          <w:noProof/>
        </w:rPr>
        <w:t>. 2015;40(17):1345-1351. doi:10.1097/BRS.0000000000001002.</w:t>
      </w:r>
    </w:p>
    <w:p w14:paraId="0C6E687B"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13. </w:t>
      </w:r>
      <w:r w:rsidRPr="0080515B">
        <w:rPr>
          <w:rFonts w:ascii="Times New Roman" w:hAnsi="Times New Roman" w:cs="Times New Roman"/>
          <w:noProof/>
        </w:rPr>
        <w:tab/>
        <w:t xml:space="preserve">Garg S, Cyr M, St Hilaire T, et al. Variability of Surgical Site Infection With VEPTR at Eight Centers: A Retrospective Cohort Analysis. </w:t>
      </w:r>
      <w:r w:rsidRPr="0080515B">
        <w:rPr>
          <w:rFonts w:ascii="Times New Roman" w:hAnsi="Times New Roman" w:cs="Times New Roman"/>
          <w:i/>
          <w:iCs/>
          <w:noProof/>
        </w:rPr>
        <w:t>Spine Deform</w:t>
      </w:r>
      <w:r w:rsidRPr="0080515B">
        <w:rPr>
          <w:rFonts w:ascii="Times New Roman" w:hAnsi="Times New Roman" w:cs="Times New Roman"/>
          <w:noProof/>
        </w:rPr>
        <w:t xml:space="preserve">. 2016;4(1):59-64. </w:t>
      </w:r>
      <w:r w:rsidRPr="0080515B">
        <w:rPr>
          <w:rFonts w:ascii="Times New Roman" w:hAnsi="Times New Roman" w:cs="Times New Roman"/>
          <w:noProof/>
        </w:rPr>
        <w:lastRenderedPageBreak/>
        <w:t>doi:10.1016/j.jspd.2015.07.009.</w:t>
      </w:r>
    </w:p>
    <w:p w14:paraId="02AAF03C"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14. </w:t>
      </w:r>
      <w:r w:rsidRPr="0080515B">
        <w:rPr>
          <w:rFonts w:ascii="Times New Roman" w:hAnsi="Times New Roman" w:cs="Times New Roman"/>
          <w:noProof/>
        </w:rPr>
        <w:tab/>
        <w:t xml:space="preserve">Reames DL, Smith JS, Fu K-MG, et al. Complications in the surgical treatment of 19,360 cases of pediatric scoliosis: a review of the Scoliosis Research Society Morbidity and Mortality database. </w:t>
      </w:r>
      <w:r w:rsidRPr="0080515B">
        <w:rPr>
          <w:rFonts w:ascii="Times New Roman" w:hAnsi="Times New Roman" w:cs="Times New Roman"/>
          <w:i/>
          <w:iCs/>
          <w:noProof/>
        </w:rPr>
        <w:t>Spine (Phila Pa 1976)</w:t>
      </w:r>
      <w:r w:rsidRPr="0080515B">
        <w:rPr>
          <w:rFonts w:ascii="Times New Roman" w:hAnsi="Times New Roman" w:cs="Times New Roman"/>
          <w:noProof/>
        </w:rPr>
        <w:t>. 2011;36(18):1484-1491. doi:10.1097/BRS.0b013e3181f3a326.</w:t>
      </w:r>
    </w:p>
    <w:p w14:paraId="72CECE17"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15. </w:t>
      </w:r>
      <w:r w:rsidRPr="0080515B">
        <w:rPr>
          <w:rFonts w:ascii="Times New Roman" w:hAnsi="Times New Roman" w:cs="Times New Roman"/>
          <w:noProof/>
        </w:rPr>
        <w:tab/>
        <w:t xml:space="preserve">Smith JS, Shaffrey CI, Sansur CA, et al. Rates of infection after spine surgery based on 108,419 procedures: a report from the Scoliosis Research Society Morbidity and Mortality Committee. </w:t>
      </w:r>
      <w:r w:rsidRPr="0080515B">
        <w:rPr>
          <w:rFonts w:ascii="Times New Roman" w:hAnsi="Times New Roman" w:cs="Times New Roman"/>
          <w:i/>
          <w:iCs/>
          <w:noProof/>
        </w:rPr>
        <w:t>Spine (Phila Pa 1976)</w:t>
      </w:r>
      <w:r w:rsidRPr="0080515B">
        <w:rPr>
          <w:rFonts w:ascii="Times New Roman" w:hAnsi="Times New Roman" w:cs="Times New Roman"/>
          <w:noProof/>
        </w:rPr>
        <w:t>. 2011;36(7):556-563. doi:10.1097/BRS.0b013e3181eadd41.</w:t>
      </w:r>
    </w:p>
    <w:p w14:paraId="02C52D37"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16. </w:t>
      </w:r>
      <w:r w:rsidRPr="0080515B">
        <w:rPr>
          <w:rFonts w:ascii="Times New Roman" w:hAnsi="Times New Roman" w:cs="Times New Roman"/>
          <w:noProof/>
        </w:rPr>
        <w:tab/>
        <w:t xml:space="preserve">Carreon LY, Puno RM, Lenke LG, et al. Non-neurologic complications following surgery for adolescent idiopathic scoliosis. </w:t>
      </w:r>
      <w:r w:rsidRPr="0080515B">
        <w:rPr>
          <w:rFonts w:ascii="Times New Roman" w:hAnsi="Times New Roman" w:cs="Times New Roman"/>
          <w:i/>
          <w:iCs/>
          <w:noProof/>
        </w:rPr>
        <w:t>J Bone Joint Surg Am</w:t>
      </w:r>
      <w:r w:rsidRPr="0080515B">
        <w:rPr>
          <w:rFonts w:ascii="Times New Roman" w:hAnsi="Times New Roman" w:cs="Times New Roman"/>
          <w:noProof/>
        </w:rPr>
        <w:t>. 2007;89(11):2427-2432. doi:10.2106/JBJS.F.00995.</w:t>
      </w:r>
    </w:p>
    <w:p w14:paraId="61644DE7"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17. </w:t>
      </w:r>
      <w:r w:rsidRPr="0080515B">
        <w:rPr>
          <w:rFonts w:ascii="Times New Roman" w:hAnsi="Times New Roman" w:cs="Times New Roman"/>
          <w:noProof/>
        </w:rPr>
        <w:tab/>
        <w:t xml:space="preserve">Gans I, Dormans JP, Spiegel DA, et al. Adjunctive Vancomycin Powder in Pediatric Spine Surgery is Safe. </w:t>
      </w:r>
      <w:r w:rsidRPr="0080515B">
        <w:rPr>
          <w:rFonts w:ascii="Times New Roman" w:hAnsi="Times New Roman" w:cs="Times New Roman"/>
          <w:i/>
          <w:iCs/>
          <w:noProof/>
        </w:rPr>
        <w:t>Spine (Phila Pa 1976)</w:t>
      </w:r>
      <w:r w:rsidRPr="0080515B">
        <w:rPr>
          <w:rFonts w:ascii="Times New Roman" w:hAnsi="Times New Roman" w:cs="Times New Roman"/>
          <w:noProof/>
        </w:rPr>
        <w:t>. 2013;38(19):1703-1707. doi:10.1097/BRS.0b013e31829e05d3.</w:t>
      </w:r>
    </w:p>
    <w:p w14:paraId="600D763A"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18. </w:t>
      </w:r>
      <w:r w:rsidRPr="0080515B">
        <w:rPr>
          <w:rFonts w:ascii="Times New Roman" w:hAnsi="Times New Roman" w:cs="Times New Roman"/>
          <w:noProof/>
        </w:rPr>
        <w:tab/>
        <w:t xml:space="preserve">Basques BA, Bohl DD, Golinvaux NS, Smith BG, Grauer JN. Patient Factors Are Associated With Poor Short-term Outcomes After Posterior Fusion for Adolescent Idiopathic Scoliosis. </w:t>
      </w:r>
      <w:r w:rsidRPr="0080515B">
        <w:rPr>
          <w:rFonts w:ascii="Times New Roman" w:hAnsi="Times New Roman" w:cs="Times New Roman"/>
          <w:i/>
          <w:iCs/>
          <w:noProof/>
        </w:rPr>
        <w:t>Clin Orthop Relat Res</w:t>
      </w:r>
      <w:r w:rsidRPr="0080515B">
        <w:rPr>
          <w:rFonts w:ascii="Times New Roman" w:hAnsi="Times New Roman" w:cs="Times New Roman"/>
          <w:noProof/>
        </w:rPr>
        <w:t>. 2015;473(1):286-294. doi:10.1007/s11999-014-3911-4.</w:t>
      </w:r>
    </w:p>
    <w:p w14:paraId="7F7D81B5"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19. </w:t>
      </w:r>
      <w:r w:rsidRPr="0080515B">
        <w:rPr>
          <w:rFonts w:ascii="Times New Roman" w:hAnsi="Times New Roman" w:cs="Times New Roman"/>
          <w:noProof/>
        </w:rPr>
        <w:tab/>
        <w:t xml:space="preserve">Basques BA, Lukasiewicz AM, Samuel AM, et al. Which Pediatric Orthopaedic Procedures Have the Greatest Risk of Adverse Outcomes? </w:t>
      </w:r>
      <w:r w:rsidRPr="0080515B">
        <w:rPr>
          <w:rFonts w:ascii="Times New Roman" w:hAnsi="Times New Roman" w:cs="Times New Roman"/>
          <w:i/>
          <w:iCs/>
          <w:noProof/>
        </w:rPr>
        <w:t>J Pediatr Orthop</w:t>
      </w:r>
      <w:r w:rsidRPr="0080515B">
        <w:rPr>
          <w:rFonts w:ascii="Times New Roman" w:hAnsi="Times New Roman" w:cs="Times New Roman"/>
          <w:noProof/>
        </w:rPr>
        <w:t>. November 2015:1. doi:10.1097/BPO.0000000000000683.</w:t>
      </w:r>
    </w:p>
    <w:p w14:paraId="0CE5F983"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20. </w:t>
      </w:r>
      <w:r w:rsidRPr="0080515B">
        <w:rPr>
          <w:rFonts w:ascii="Times New Roman" w:hAnsi="Times New Roman" w:cs="Times New Roman"/>
          <w:noProof/>
        </w:rPr>
        <w:tab/>
        <w:t xml:space="preserve">Iorio JA, Jakoi AM, Steiner CD, et al. Minimally Invasive Lateral Interbody Fusion in the Treatment of Scoliosis Associated with Myelomeningocele. </w:t>
      </w:r>
      <w:r w:rsidRPr="0080515B">
        <w:rPr>
          <w:rFonts w:ascii="Times New Roman" w:hAnsi="Times New Roman" w:cs="Times New Roman"/>
          <w:i/>
          <w:iCs/>
          <w:noProof/>
        </w:rPr>
        <w:t>Surg Technol Int</w:t>
      </w:r>
      <w:r w:rsidRPr="0080515B">
        <w:rPr>
          <w:rFonts w:ascii="Times New Roman" w:hAnsi="Times New Roman" w:cs="Times New Roman"/>
          <w:noProof/>
        </w:rPr>
        <w:t>. 2015;26:371-375. http://www.ncbi.nlm.nih.gov/pubmed/26055034. Accessed July 26, 2017.</w:t>
      </w:r>
    </w:p>
    <w:p w14:paraId="6DA1DAB2"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21. </w:t>
      </w:r>
      <w:r w:rsidRPr="0080515B">
        <w:rPr>
          <w:rFonts w:ascii="Times New Roman" w:hAnsi="Times New Roman" w:cs="Times New Roman"/>
          <w:noProof/>
        </w:rPr>
        <w:tab/>
        <w:t xml:space="preserve">Armaghani SJ, Menge TJ, Lovejoy SA, Mencio GA, Martus JE. Safety of topical vancomycin for pediatric spinal deformity: nontoxic serum levels with supratherapeutic drain levels. </w:t>
      </w:r>
      <w:r w:rsidRPr="0080515B">
        <w:rPr>
          <w:rFonts w:ascii="Times New Roman" w:hAnsi="Times New Roman" w:cs="Times New Roman"/>
          <w:i/>
          <w:iCs/>
          <w:noProof/>
        </w:rPr>
        <w:t>Spine (Phila Pa 1976)</w:t>
      </w:r>
      <w:r w:rsidRPr="0080515B">
        <w:rPr>
          <w:rFonts w:ascii="Times New Roman" w:hAnsi="Times New Roman" w:cs="Times New Roman"/>
          <w:noProof/>
        </w:rPr>
        <w:t>. 2014;39(20):1683-1687. doi:10.1097/BRS.0000000000000465.</w:t>
      </w:r>
    </w:p>
    <w:p w14:paraId="754FE322"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22. </w:t>
      </w:r>
      <w:r w:rsidRPr="0080515B">
        <w:rPr>
          <w:rFonts w:ascii="Times New Roman" w:hAnsi="Times New Roman" w:cs="Times New Roman"/>
          <w:noProof/>
        </w:rPr>
        <w:tab/>
        <w:t xml:space="preserve">Hedequist D, Haugen A, Hresko T, Emans J. Failure of attempted implant retention in spinal deformity delayed surgical site infections. </w:t>
      </w:r>
      <w:r w:rsidRPr="0080515B">
        <w:rPr>
          <w:rFonts w:ascii="Times New Roman" w:hAnsi="Times New Roman" w:cs="Times New Roman"/>
          <w:i/>
          <w:iCs/>
          <w:noProof/>
        </w:rPr>
        <w:t>Spine (Phila Pa 1976)</w:t>
      </w:r>
      <w:r w:rsidRPr="0080515B">
        <w:rPr>
          <w:rFonts w:ascii="Times New Roman" w:hAnsi="Times New Roman" w:cs="Times New Roman"/>
          <w:noProof/>
        </w:rPr>
        <w:t>. 2009;34(1):60-64. doi:10.1097/BRS.0b013e31818ed75e.</w:t>
      </w:r>
    </w:p>
    <w:p w14:paraId="14C994F4"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23. </w:t>
      </w:r>
      <w:r w:rsidRPr="0080515B">
        <w:rPr>
          <w:rFonts w:ascii="Times New Roman" w:hAnsi="Times New Roman" w:cs="Times New Roman"/>
          <w:noProof/>
        </w:rPr>
        <w:tab/>
        <w:t xml:space="preserve">Ho C, Skaggs DL, Weiss JM, Tolo VT. Management of infection after instrumented posterior spine fusion in pediatric scoliosis. </w:t>
      </w:r>
      <w:r w:rsidRPr="0080515B">
        <w:rPr>
          <w:rFonts w:ascii="Times New Roman" w:hAnsi="Times New Roman" w:cs="Times New Roman"/>
          <w:i/>
          <w:iCs/>
          <w:noProof/>
        </w:rPr>
        <w:t>Spine (Phila Pa 1976)</w:t>
      </w:r>
      <w:r w:rsidRPr="0080515B">
        <w:rPr>
          <w:rFonts w:ascii="Times New Roman" w:hAnsi="Times New Roman" w:cs="Times New Roman"/>
          <w:noProof/>
        </w:rPr>
        <w:t>. 2007;32(24):2739-</w:t>
      </w:r>
      <w:r w:rsidRPr="0080515B">
        <w:rPr>
          <w:rFonts w:ascii="Times New Roman" w:hAnsi="Times New Roman" w:cs="Times New Roman"/>
          <w:noProof/>
        </w:rPr>
        <w:lastRenderedPageBreak/>
        <w:t>2744. doi:10.1097/BRS.0b013e31815a5a86.</w:t>
      </w:r>
    </w:p>
    <w:p w14:paraId="14640306"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24. </w:t>
      </w:r>
      <w:r w:rsidRPr="0080515B">
        <w:rPr>
          <w:rFonts w:ascii="Times New Roman" w:hAnsi="Times New Roman" w:cs="Times New Roman"/>
          <w:noProof/>
        </w:rPr>
        <w:tab/>
        <w:t xml:space="preserve">Horan TC, Gaynes RP, Martone WJ, Jarvis WR, Emori TG. CDC definitions of nosocomial surgical site infections, 1992: a modification of CDC definitions of surgical wound infections. </w:t>
      </w:r>
      <w:r w:rsidRPr="0080515B">
        <w:rPr>
          <w:rFonts w:ascii="Times New Roman" w:hAnsi="Times New Roman" w:cs="Times New Roman"/>
          <w:i/>
          <w:iCs/>
          <w:noProof/>
        </w:rPr>
        <w:t>Infect Control Hosp Epidemiol</w:t>
      </w:r>
      <w:r w:rsidRPr="0080515B">
        <w:rPr>
          <w:rFonts w:ascii="Times New Roman" w:hAnsi="Times New Roman" w:cs="Times New Roman"/>
          <w:noProof/>
        </w:rPr>
        <w:t>. 1992;13(10):606-608. http://www.ncbi.nlm.nih.gov/pubmed/1334988. Accessed July 10, 2013.</w:t>
      </w:r>
    </w:p>
    <w:p w14:paraId="5BD4C15D"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25. </w:t>
      </w:r>
      <w:r w:rsidRPr="0080515B">
        <w:rPr>
          <w:rFonts w:ascii="Times New Roman" w:hAnsi="Times New Roman" w:cs="Times New Roman"/>
          <w:noProof/>
        </w:rPr>
        <w:tab/>
        <w:t xml:space="preserve">Horan T, Andrus M, Dudeck M. CDC/NHSN survillance definition of helth care-associated infection and criteria for especific types of infectionin the acute care setting. </w:t>
      </w:r>
      <w:r w:rsidRPr="0080515B">
        <w:rPr>
          <w:rFonts w:ascii="Times New Roman" w:hAnsi="Times New Roman" w:cs="Times New Roman"/>
          <w:i/>
          <w:iCs/>
          <w:noProof/>
        </w:rPr>
        <w:t>AM J Infec Control</w:t>
      </w:r>
      <w:r w:rsidRPr="0080515B">
        <w:rPr>
          <w:rFonts w:ascii="Times New Roman" w:hAnsi="Times New Roman" w:cs="Times New Roman"/>
          <w:noProof/>
        </w:rPr>
        <w:t>. 2008;36(5):309-332. http://www.ncbi.nlm.nih.gov/entrez/query.fcgi?cmd=Retrieve&amp;db=PubMed&amp;dopt=Citation&amp;list_uids=18538699.</w:t>
      </w:r>
    </w:p>
    <w:p w14:paraId="0C0AF1DE"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26. </w:t>
      </w:r>
      <w:r w:rsidRPr="0080515B">
        <w:rPr>
          <w:rFonts w:ascii="Times New Roman" w:hAnsi="Times New Roman" w:cs="Times New Roman"/>
          <w:noProof/>
        </w:rPr>
        <w:tab/>
        <w:t xml:space="preserve">Moons KGM, Royston P, Vergouwe Y, Grobbee DE, Altman DG. Prognosis and prognostic research: what, why, and how? </w:t>
      </w:r>
      <w:r w:rsidRPr="0080515B">
        <w:rPr>
          <w:rFonts w:ascii="Times New Roman" w:hAnsi="Times New Roman" w:cs="Times New Roman"/>
          <w:i/>
          <w:iCs/>
          <w:noProof/>
        </w:rPr>
        <w:t>BMJ</w:t>
      </w:r>
      <w:r w:rsidRPr="0080515B">
        <w:rPr>
          <w:rFonts w:ascii="Times New Roman" w:hAnsi="Times New Roman" w:cs="Times New Roman"/>
          <w:noProof/>
        </w:rPr>
        <w:t>. 2009;338. http://www.bmj.com/content/338/bmj.b375.full. Accessed July 13, 2017.</w:t>
      </w:r>
    </w:p>
    <w:p w14:paraId="1AED8667"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27. </w:t>
      </w:r>
      <w:r w:rsidRPr="0080515B">
        <w:rPr>
          <w:rFonts w:ascii="Times New Roman" w:hAnsi="Times New Roman" w:cs="Times New Roman"/>
          <w:noProof/>
        </w:rPr>
        <w:tab/>
        <w:t xml:space="preserve">Steyerberg EW, Vickers AJ, Cook NR, et al. Assessing the performance of prediction models: a framework for traditional and novel measures. </w:t>
      </w:r>
      <w:r w:rsidRPr="0080515B">
        <w:rPr>
          <w:rFonts w:ascii="Times New Roman" w:hAnsi="Times New Roman" w:cs="Times New Roman"/>
          <w:i/>
          <w:iCs/>
          <w:noProof/>
        </w:rPr>
        <w:t>Epidemiology</w:t>
      </w:r>
      <w:r w:rsidRPr="0080515B">
        <w:rPr>
          <w:rFonts w:ascii="Times New Roman" w:hAnsi="Times New Roman" w:cs="Times New Roman"/>
          <w:noProof/>
        </w:rPr>
        <w:t>. 2010;21(1):128-138. doi:10.1097/EDE.0b013e3181c30fb2.</w:t>
      </w:r>
    </w:p>
    <w:p w14:paraId="2549CC1A"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28. </w:t>
      </w:r>
      <w:r w:rsidRPr="0080515B">
        <w:rPr>
          <w:rFonts w:ascii="Times New Roman" w:hAnsi="Times New Roman" w:cs="Times New Roman"/>
          <w:noProof/>
        </w:rPr>
        <w:tab/>
        <w:t xml:space="preserve">Spatz ES, Krumholz HM, Moulton BW. Prime Time for Shared Decision Making. </w:t>
      </w:r>
      <w:r w:rsidRPr="0080515B">
        <w:rPr>
          <w:rFonts w:ascii="Times New Roman" w:hAnsi="Times New Roman" w:cs="Times New Roman"/>
          <w:i/>
          <w:iCs/>
          <w:noProof/>
        </w:rPr>
        <w:t>JAMA</w:t>
      </w:r>
      <w:r w:rsidRPr="0080515B">
        <w:rPr>
          <w:rFonts w:ascii="Times New Roman" w:hAnsi="Times New Roman" w:cs="Times New Roman"/>
          <w:noProof/>
        </w:rPr>
        <w:t>. 2017;317(13):1309. doi:10.1001/jama.2017.0616.</w:t>
      </w:r>
    </w:p>
    <w:p w14:paraId="1B27BB25"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29. </w:t>
      </w:r>
      <w:r w:rsidRPr="0080515B">
        <w:rPr>
          <w:rFonts w:ascii="Times New Roman" w:hAnsi="Times New Roman" w:cs="Times New Roman"/>
          <w:noProof/>
        </w:rPr>
        <w:tab/>
        <w:t xml:space="preserve">Hicks CW, Rosen M, Hobson DB, Ko C, Wick EC. Improving safety and quality of care with enhanced teamwork through operating room briefings. </w:t>
      </w:r>
      <w:r w:rsidRPr="0080515B">
        <w:rPr>
          <w:rFonts w:ascii="Times New Roman" w:hAnsi="Times New Roman" w:cs="Times New Roman"/>
          <w:i/>
          <w:iCs/>
          <w:noProof/>
        </w:rPr>
        <w:t>JAMA Surg</w:t>
      </w:r>
      <w:r w:rsidRPr="0080515B">
        <w:rPr>
          <w:rFonts w:ascii="Times New Roman" w:hAnsi="Times New Roman" w:cs="Times New Roman"/>
          <w:noProof/>
        </w:rPr>
        <w:t>. 2014;149(8):863-868. doi:10.1001/jamasurg.2014.172.</w:t>
      </w:r>
    </w:p>
    <w:p w14:paraId="5E4328AC"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30. </w:t>
      </w:r>
      <w:r w:rsidRPr="0080515B">
        <w:rPr>
          <w:rFonts w:ascii="Times New Roman" w:hAnsi="Times New Roman" w:cs="Times New Roman"/>
          <w:noProof/>
        </w:rPr>
        <w:tab/>
        <w:t xml:space="preserve">Wick EC, Hobson DB, Bennett JL, et al. Implementation of a surgical comprehensive unit-based safety program to reduce surgical site infections. </w:t>
      </w:r>
      <w:r w:rsidRPr="0080515B">
        <w:rPr>
          <w:rFonts w:ascii="Times New Roman" w:hAnsi="Times New Roman" w:cs="Times New Roman"/>
          <w:i/>
          <w:iCs/>
          <w:noProof/>
        </w:rPr>
        <w:t>J Am Coll Surg</w:t>
      </w:r>
      <w:r w:rsidRPr="0080515B">
        <w:rPr>
          <w:rFonts w:ascii="Times New Roman" w:hAnsi="Times New Roman" w:cs="Times New Roman"/>
          <w:noProof/>
        </w:rPr>
        <w:t>. 2012;215(2):193-200. doi:10.1016/j.jamcollsurg.2012.03.017.</w:t>
      </w:r>
    </w:p>
    <w:p w14:paraId="517C2B18"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31. </w:t>
      </w:r>
      <w:r w:rsidRPr="0080515B">
        <w:rPr>
          <w:rFonts w:ascii="Times New Roman" w:hAnsi="Times New Roman" w:cs="Times New Roman"/>
          <w:noProof/>
        </w:rPr>
        <w:tab/>
        <w:t>QualityNet. Readmission measures overview: publicly reporting risk-standardized, 30-day readmission measures for AMI, HF and PN.</w:t>
      </w:r>
    </w:p>
    <w:p w14:paraId="238E250B"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32. </w:t>
      </w:r>
      <w:r w:rsidRPr="0080515B">
        <w:rPr>
          <w:rFonts w:ascii="Times New Roman" w:hAnsi="Times New Roman" w:cs="Times New Roman"/>
          <w:noProof/>
        </w:rPr>
        <w:tab/>
        <w:t xml:space="preserve">Jain A, Puvanesarajah V, Menga EN, Sponseller PD. Unplanned Hospital Readmissions and Reoperations After Pediatric Spinal Fusion Surgery. </w:t>
      </w:r>
      <w:r w:rsidRPr="0080515B">
        <w:rPr>
          <w:rFonts w:ascii="Times New Roman" w:hAnsi="Times New Roman" w:cs="Times New Roman"/>
          <w:i/>
          <w:iCs/>
          <w:noProof/>
        </w:rPr>
        <w:t>Spine (Phila Pa 1976)</w:t>
      </w:r>
      <w:r w:rsidRPr="0080515B">
        <w:rPr>
          <w:rFonts w:ascii="Times New Roman" w:hAnsi="Times New Roman" w:cs="Times New Roman"/>
          <w:noProof/>
        </w:rPr>
        <w:t>. 2015;40(11):856-862. doi:10.1097/BRS.0000000000000857.</w:t>
      </w:r>
    </w:p>
    <w:p w14:paraId="1F2FCB00" w14:textId="77777777" w:rsidR="0080515B" w:rsidRPr="0080515B" w:rsidRDefault="0080515B" w:rsidP="0080515B">
      <w:pPr>
        <w:widowControl w:val="0"/>
        <w:autoSpaceDE w:val="0"/>
        <w:autoSpaceDN w:val="0"/>
        <w:adjustRightInd w:val="0"/>
        <w:ind w:left="640" w:hanging="640"/>
        <w:rPr>
          <w:rFonts w:ascii="Times New Roman" w:hAnsi="Times New Roman" w:cs="Times New Roman"/>
          <w:noProof/>
        </w:rPr>
      </w:pPr>
      <w:r w:rsidRPr="0080515B">
        <w:rPr>
          <w:rFonts w:ascii="Times New Roman" w:hAnsi="Times New Roman" w:cs="Times New Roman"/>
          <w:noProof/>
        </w:rPr>
        <w:t xml:space="preserve">33. </w:t>
      </w:r>
      <w:r w:rsidRPr="0080515B">
        <w:rPr>
          <w:rFonts w:ascii="Times New Roman" w:hAnsi="Times New Roman" w:cs="Times New Roman"/>
          <w:noProof/>
        </w:rPr>
        <w:tab/>
        <w:t xml:space="preserve">Sherrod BA, Johnston JM, Rocque BG. Risk factors for unplanned readmission within 30 days after pediatric neurosurgery: a nationwide analysis of 9799 procedures from the American College of Surgeons National Surgical Quality Improvement Program. </w:t>
      </w:r>
      <w:r w:rsidRPr="0080515B">
        <w:rPr>
          <w:rFonts w:ascii="Times New Roman" w:hAnsi="Times New Roman" w:cs="Times New Roman"/>
          <w:i/>
          <w:iCs/>
          <w:noProof/>
        </w:rPr>
        <w:t>J Neurosurg Pediatr</w:t>
      </w:r>
      <w:r w:rsidRPr="0080515B">
        <w:rPr>
          <w:rFonts w:ascii="Times New Roman" w:hAnsi="Times New Roman" w:cs="Times New Roman"/>
          <w:noProof/>
        </w:rPr>
        <w:t>. 2016;18(3):350-362. doi:10.3171/2016.2.PEDS15604.</w:t>
      </w:r>
    </w:p>
    <w:p w14:paraId="52ADFCF3" w14:textId="7E3B9E11" w:rsidR="00AD2172" w:rsidRDefault="00AD2172" w:rsidP="0080515B">
      <w:pPr>
        <w:widowControl w:val="0"/>
        <w:autoSpaceDE w:val="0"/>
        <w:autoSpaceDN w:val="0"/>
        <w:adjustRightInd w:val="0"/>
        <w:ind w:left="640" w:hanging="640"/>
        <w:rPr>
          <w:rFonts w:ascii="Times New Roman" w:hAnsi="Times New Roman" w:cs="Times New Roman"/>
          <w:lang w:eastAsia="ja-JP"/>
        </w:rPr>
      </w:pPr>
      <w:r>
        <w:rPr>
          <w:rFonts w:ascii="Times New Roman" w:hAnsi="Times New Roman" w:cs="Times New Roman"/>
          <w:lang w:eastAsia="ja-JP"/>
        </w:rPr>
        <w:fldChar w:fldCharType="end"/>
      </w:r>
    </w:p>
    <w:p w14:paraId="34DE9865" w14:textId="77777777" w:rsidR="0080515B" w:rsidRDefault="0080515B" w:rsidP="0080515B">
      <w:pPr>
        <w:widowControl w:val="0"/>
        <w:autoSpaceDE w:val="0"/>
        <w:autoSpaceDN w:val="0"/>
        <w:adjustRightInd w:val="0"/>
        <w:ind w:left="640" w:hanging="640"/>
        <w:rPr>
          <w:rFonts w:ascii="Times New Roman" w:hAnsi="Times New Roman" w:cs="Times New Roman"/>
          <w:lang w:eastAsia="ja-JP"/>
        </w:rPr>
      </w:pPr>
    </w:p>
    <w:p w14:paraId="2D1C1431" w14:textId="77777777" w:rsidR="0080515B" w:rsidRDefault="0080515B">
      <w:pPr>
        <w:rPr>
          <w:rFonts w:ascii="Times New Roman" w:hAnsi="Times New Roman"/>
          <w:b/>
        </w:rPr>
      </w:pPr>
      <w:r>
        <w:rPr>
          <w:rFonts w:ascii="Times New Roman" w:hAnsi="Times New Roman"/>
          <w:b/>
        </w:rPr>
        <w:br w:type="page"/>
      </w:r>
    </w:p>
    <w:p w14:paraId="023492FB" w14:textId="587C2173" w:rsidR="0080515B" w:rsidRDefault="0080515B" w:rsidP="0080515B">
      <w:pPr>
        <w:rPr>
          <w:rFonts w:ascii="Times New Roman" w:hAnsi="Times New Roman" w:cs="Times New Roman"/>
        </w:rPr>
      </w:pPr>
      <w:r w:rsidRPr="002F5779">
        <w:rPr>
          <w:rFonts w:ascii="Times New Roman" w:hAnsi="Times New Roman"/>
          <w:b/>
        </w:rPr>
        <w:t>Table 1:</w:t>
      </w:r>
      <w:r>
        <w:rPr>
          <w:rFonts w:ascii="Times New Roman" w:hAnsi="Times New Roman"/>
          <w:b/>
        </w:rPr>
        <w:t xml:space="preserve"> </w:t>
      </w:r>
      <w:r w:rsidRPr="00C40EC4">
        <w:rPr>
          <w:rFonts w:ascii="Times New Roman" w:hAnsi="Times New Roman"/>
          <w:b/>
        </w:rPr>
        <w:t xml:space="preserve">Preoperative Characteristics of </w:t>
      </w:r>
      <w:r>
        <w:rPr>
          <w:rFonts w:ascii="Times New Roman" w:hAnsi="Times New Roman"/>
          <w:b/>
        </w:rPr>
        <w:t>Early Onset Scoliosis</w:t>
      </w:r>
      <w:r w:rsidRPr="00C40EC4">
        <w:rPr>
          <w:rFonts w:ascii="Times New Roman" w:hAnsi="Times New Roman"/>
          <w:b/>
        </w:rPr>
        <w:t xml:space="preserve"> Patients Undergoing Spinal </w:t>
      </w:r>
      <w:r>
        <w:rPr>
          <w:rFonts w:ascii="Times New Roman" w:hAnsi="Times New Roman"/>
          <w:b/>
        </w:rPr>
        <w:t>Surgery</w:t>
      </w:r>
      <w:r w:rsidRPr="00C40EC4">
        <w:rPr>
          <w:rFonts w:ascii="Times New Roman" w:hAnsi="Times New Roman"/>
          <w:b/>
        </w:rPr>
        <w:t xml:space="preserve"> and Their Risk </w:t>
      </w:r>
      <w:r>
        <w:rPr>
          <w:rFonts w:ascii="Times New Roman" w:hAnsi="Times New Roman"/>
          <w:b/>
        </w:rPr>
        <w:t>of Surgical Site Infection (SSI) as Compared to the SSI Risk of Patients Without these Characteristics.</w:t>
      </w:r>
    </w:p>
    <w:p w14:paraId="5BD0E12A" w14:textId="77777777" w:rsidR="0080515B" w:rsidRDefault="0080515B" w:rsidP="0080515B">
      <w:pPr>
        <w:rPr>
          <w:rFonts w:ascii="Times New Roman" w:hAnsi="Times New Roman" w:cs="Times New Roman"/>
        </w:rPr>
      </w:pPr>
    </w:p>
    <w:tbl>
      <w:tblPr>
        <w:tblStyle w:val="TableGrid"/>
        <w:tblW w:w="0" w:type="auto"/>
        <w:jc w:val="center"/>
        <w:tblLayout w:type="fixed"/>
        <w:tblLook w:val="04A0" w:firstRow="1" w:lastRow="0" w:firstColumn="1" w:lastColumn="0" w:noHBand="0" w:noVBand="1"/>
      </w:tblPr>
      <w:tblGrid>
        <w:gridCol w:w="3863"/>
        <w:gridCol w:w="1465"/>
        <w:gridCol w:w="1170"/>
      </w:tblGrid>
      <w:tr w:rsidR="0080515B" w:rsidRPr="002016C9" w14:paraId="1E42D407" w14:textId="77777777" w:rsidTr="0080515B">
        <w:trPr>
          <w:trHeight w:val="368"/>
          <w:jc w:val="center"/>
        </w:trPr>
        <w:tc>
          <w:tcPr>
            <w:tcW w:w="3863" w:type="dxa"/>
            <w:shd w:val="clear" w:color="auto" w:fill="CCCCCC"/>
            <w:vAlign w:val="center"/>
          </w:tcPr>
          <w:p w14:paraId="775AF02E" w14:textId="77777777" w:rsidR="0080515B" w:rsidRPr="002016C9" w:rsidRDefault="0080515B" w:rsidP="00BE33F0">
            <w:pPr>
              <w:rPr>
                <w:rFonts w:ascii="Times New Roman" w:hAnsi="Times New Roman" w:cs="Times New Roman"/>
                <w:b/>
              </w:rPr>
            </w:pPr>
            <w:r w:rsidRPr="002016C9">
              <w:rPr>
                <w:rFonts w:ascii="Times New Roman" w:hAnsi="Times New Roman" w:cs="Times New Roman"/>
                <w:b/>
              </w:rPr>
              <w:t>Risk Factor</w:t>
            </w:r>
          </w:p>
        </w:tc>
        <w:tc>
          <w:tcPr>
            <w:tcW w:w="1465" w:type="dxa"/>
            <w:shd w:val="clear" w:color="auto" w:fill="CCCCCC"/>
            <w:vAlign w:val="center"/>
          </w:tcPr>
          <w:p w14:paraId="76BD1270" w14:textId="77777777" w:rsidR="0080515B" w:rsidRPr="002016C9" w:rsidRDefault="0080515B" w:rsidP="00BE33F0">
            <w:pPr>
              <w:rPr>
                <w:rFonts w:ascii="Times New Roman" w:hAnsi="Times New Roman" w:cs="Times New Roman"/>
                <w:b/>
              </w:rPr>
            </w:pPr>
            <w:r w:rsidRPr="002016C9">
              <w:rPr>
                <w:rFonts w:ascii="Times New Roman" w:hAnsi="Times New Roman" w:cs="Times New Roman"/>
                <w:b/>
              </w:rPr>
              <w:t>SSI N(%)</w:t>
            </w:r>
          </w:p>
        </w:tc>
        <w:tc>
          <w:tcPr>
            <w:tcW w:w="1170" w:type="dxa"/>
            <w:shd w:val="clear" w:color="auto" w:fill="CCCCCC"/>
            <w:vAlign w:val="center"/>
          </w:tcPr>
          <w:p w14:paraId="4E794B19" w14:textId="77777777" w:rsidR="0080515B" w:rsidRPr="002016C9" w:rsidRDefault="0080515B" w:rsidP="00BE33F0">
            <w:pPr>
              <w:rPr>
                <w:rFonts w:ascii="Times New Roman" w:hAnsi="Times New Roman" w:cs="Times New Roman"/>
                <w:b/>
              </w:rPr>
            </w:pPr>
            <w:r w:rsidRPr="002016C9">
              <w:rPr>
                <w:rFonts w:ascii="Times New Roman" w:hAnsi="Times New Roman" w:cs="Times New Roman"/>
                <w:b/>
              </w:rPr>
              <w:t>p-value</w:t>
            </w:r>
          </w:p>
        </w:tc>
      </w:tr>
      <w:tr w:rsidR="0080515B" w:rsidRPr="002016C9" w14:paraId="068B4289" w14:textId="77777777" w:rsidTr="00BE33F0">
        <w:trPr>
          <w:trHeight w:val="915"/>
          <w:jc w:val="center"/>
        </w:trPr>
        <w:tc>
          <w:tcPr>
            <w:tcW w:w="3863" w:type="dxa"/>
            <w:vAlign w:val="center"/>
          </w:tcPr>
          <w:p w14:paraId="04CCD123" w14:textId="77777777" w:rsidR="0080515B" w:rsidRPr="00BD73B3" w:rsidRDefault="0080515B" w:rsidP="00BE33F0">
            <w:pPr>
              <w:rPr>
                <w:rFonts w:ascii="Times New Roman" w:hAnsi="Times New Roman" w:cs="Times New Roman"/>
                <w:i/>
              </w:rPr>
            </w:pPr>
            <w:r w:rsidRPr="00BD73B3">
              <w:rPr>
                <w:rFonts w:ascii="Times New Roman" w:hAnsi="Times New Roman" w:cs="Times New Roman"/>
                <w:i/>
              </w:rPr>
              <w:t>Gender</w:t>
            </w:r>
          </w:p>
          <w:p w14:paraId="407FCEDB" w14:textId="77777777" w:rsidR="0080515B" w:rsidRDefault="0080515B" w:rsidP="00BE33F0">
            <w:pPr>
              <w:rPr>
                <w:rFonts w:ascii="Times New Roman" w:hAnsi="Times New Roman" w:cs="Times New Roman"/>
              </w:rPr>
            </w:pPr>
            <w:r>
              <w:rPr>
                <w:rFonts w:ascii="Times New Roman" w:hAnsi="Times New Roman" w:cs="Times New Roman"/>
              </w:rPr>
              <w:t xml:space="preserve">     Male</w:t>
            </w:r>
          </w:p>
          <w:p w14:paraId="022F88AB" w14:textId="77777777" w:rsidR="0080515B" w:rsidRPr="002016C9" w:rsidRDefault="0080515B" w:rsidP="00BE33F0">
            <w:pPr>
              <w:rPr>
                <w:rFonts w:ascii="Times New Roman" w:hAnsi="Times New Roman" w:cs="Times New Roman"/>
              </w:rPr>
            </w:pPr>
            <w:r>
              <w:rPr>
                <w:rFonts w:ascii="Times New Roman" w:hAnsi="Times New Roman" w:cs="Times New Roman"/>
              </w:rPr>
              <w:t xml:space="preserve">     Female</w:t>
            </w:r>
          </w:p>
        </w:tc>
        <w:tc>
          <w:tcPr>
            <w:tcW w:w="1465" w:type="dxa"/>
            <w:vAlign w:val="center"/>
          </w:tcPr>
          <w:p w14:paraId="749ACB2E" w14:textId="77777777" w:rsidR="0080515B" w:rsidRDefault="0080515B" w:rsidP="00BE33F0">
            <w:pPr>
              <w:rPr>
                <w:rFonts w:ascii="Times New Roman" w:hAnsi="Times New Roman" w:cs="Times New Roman"/>
              </w:rPr>
            </w:pPr>
          </w:p>
          <w:p w14:paraId="7171935B" w14:textId="77777777" w:rsidR="0080515B" w:rsidRDefault="0080515B" w:rsidP="00BE33F0">
            <w:pPr>
              <w:rPr>
                <w:rFonts w:ascii="Times New Roman" w:hAnsi="Times New Roman" w:cs="Times New Roman"/>
              </w:rPr>
            </w:pPr>
            <w:r>
              <w:rPr>
                <w:rFonts w:ascii="Times New Roman" w:hAnsi="Times New Roman" w:cs="Times New Roman"/>
              </w:rPr>
              <w:t>36 (7.1%)</w:t>
            </w:r>
          </w:p>
          <w:p w14:paraId="2D2EED57" w14:textId="77777777" w:rsidR="0080515B" w:rsidRPr="002016C9" w:rsidRDefault="0080515B" w:rsidP="00BE33F0">
            <w:pPr>
              <w:rPr>
                <w:rFonts w:ascii="Times New Roman" w:hAnsi="Times New Roman" w:cs="Times New Roman"/>
              </w:rPr>
            </w:pPr>
            <w:r>
              <w:rPr>
                <w:rFonts w:ascii="Times New Roman" w:hAnsi="Times New Roman" w:cs="Times New Roman"/>
              </w:rPr>
              <w:t>44 (6.4%)</w:t>
            </w:r>
          </w:p>
        </w:tc>
        <w:tc>
          <w:tcPr>
            <w:tcW w:w="1170" w:type="dxa"/>
            <w:vAlign w:val="center"/>
          </w:tcPr>
          <w:p w14:paraId="7C53F001" w14:textId="77777777" w:rsidR="0080515B" w:rsidRDefault="0080515B" w:rsidP="00BE33F0">
            <w:pPr>
              <w:rPr>
                <w:rFonts w:ascii="Times New Roman" w:hAnsi="Times New Roman" w:cs="Times New Roman"/>
              </w:rPr>
            </w:pPr>
          </w:p>
          <w:p w14:paraId="3B2B488E" w14:textId="77777777" w:rsidR="0080515B" w:rsidRPr="005D4BB2" w:rsidRDefault="0080515B" w:rsidP="00BE33F0">
            <w:pPr>
              <w:rPr>
                <w:rFonts w:ascii="Times New Roman" w:hAnsi="Times New Roman" w:cs="Times New Roman"/>
              </w:rPr>
            </w:pPr>
            <w:r>
              <w:rPr>
                <w:rFonts w:ascii="Times New Roman" w:hAnsi="Times New Roman" w:cs="Times New Roman"/>
              </w:rPr>
              <w:t>0.641</w:t>
            </w:r>
          </w:p>
        </w:tc>
      </w:tr>
      <w:tr w:rsidR="0080515B" w:rsidRPr="002016C9" w14:paraId="6D609484" w14:textId="77777777" w:rsidTr="00BE33F0">
        <w:trPr>
          <w:trHeight w:val="981"/>
          <w:jc w:val="center"/>
        </w:trPr>
        <w:tc>
          <w:tcPr>
            <w:tcW w:w="3863" w:type="dxa"/>
            <w:vAlign w:val="center"/>
          </w:tcPr>
          <w:p w14:paraId="2784382B" w14:textId="77777777" w:rsidR="0080515B" w:rsidRPr="00BD73B3" w:rsidRDefault="0080515B" w:rsidP="00BE33F0">
            <w:pPr>
              <w:rPr>
                <w:rFonts w:ascii="Times New Roman" w:hAnsi="Times New Roman" w:cs="Times New Roman"/>
                <w:i/>
              </w:rPr>
            </w:pPr>
            <w:r w:rsidRPr="00BD73B3">
              <w:rPr>
                <w:rFonts w:ascii="Times New Roman" w:hAnsi="Times New Roman" w:cs="Times New Roman"/>
                <w:i/>
              </w:rPr>
              <w:t>Etiology</w:t>
            </w:r>
          </w:p>
          <w:p w14:paraId="166B9E85" w14:textId="77777777" w:rsidR="0080515B" w:rsidRDefault="0080515B" w:rsidP="00BE33F0">
            <w:pPr>
              <w:rPr>
                <w:rFonts w:ascii="Times New Roman" w:hAnsi="Times New Roman" w:cs="Times New Roman"/>
              </w:rPr>
            </w:pPr>
            <w:r>
              <w:rPr>
                <w:rFonts w:ascii="Times New Roman" w:hAnsi="Times New Roman" w:cs="Times New Roman"/>
              </w:rPr>
              <w:t xml:space="preserve">     Neuromuscular</w:t>
            </w:r>
          </w:p>
          <w:p w14:paraId="39AD0013" w14:textId="77777777" w:rsidR="0080515B" w:rsidRPr="00BD73B3" w:rsidRDefault="0080515B" w:rsidP="00BE33F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Spina Bifida</w:t>
            </w:r>
          </w:p>
          <w:p w14:paraId="3CE8B5BD" w14:textId="77777777" w:rsidR="0080515B" w:rsidRPr="00BD73B3" w:rsidRDefault="0080515B" w:rsidP="00BE33F0">
            <w:pPr>
              <w:pStyle w:val="ListParagraph"/>
              <w:numPr>
                <w:ilvl w:val="0"/>
                <w:numId w:val="1"/>
              </w:numPr>
              <w:spacing w:after="0" w:line="240" w:lineRule="auto"/>
              <w:rPr>
                <w:rFonts w:ascii="Times New Roman" w:hAnsi="Times New Roman" w:cs="Times New Roman"/>
                <w:sz w:val="24"/>
                <w:szCs w:val="24"/>
              </w:rPr>
            </w:pPr>
            <w:r w:rsidRPr="00BD73B3">
              <w:rPr>
                <w:rFonts w:ascii="Times New Roman" w:hAnsi="Times New Roman" w:cs="Times New Roman"/>
                <w:sz w:val="24"/>
                <w:szCs w:val="24"/>
              </w:rPr>
              <w:t>Spinal Muscular Atrophy</w:t>
            </w:r>
          </w:p>
          <w:p w14:paraId="4690EF86" w14:textId="77777777" w:rsidR="0080515B" w:rsidRPr="00BD73B3" w:rsidRDefault="0080515B" w:rsidP="00BE33F0">
            <w:pPr>
              <w:pStyle w:val="ListParagraph"/>
              <w:numPr>
                <w:ilvl w:val="0"/>
                <w:numId w:val="1"/>
              </w:numPr>
              <w:spacing w:after="0" w:line="240" w:lineRule="auto"/>
              <w:rPr>
                <w:rFonts w:ascii="Times New Roman" w:hAnsi="Times New Roman" w:cs="Times New Roman"/>
                <w:sz w:val="24"/>
                <w:szCs w:val="24"/>
              </w:rPr>
            </w:pPr>
            <w:r w:rsidRPr="00BD73B3">
              <w:rPr>
                <w:rFonts w:ascii="Times New Roman" w:hAnsi="Times New Roman" w:cs="Times New Roman"/>
                <w:sz w:val="24"/>
                <w:szCs w:val="24"/>
              </w:rPr>
              <w:t>Cerebral Palsy</w:t>
            </w:r>
          </w:p>
          <w:p w14:paraId="4141B5AE" w14:textId="77777777" w:rsidR="0080515B" w:rsidRDefault="0080515B" w:rsidP="00BE33F0">
            <w:pPr>
              <w:rPr>
                <w:rFonts w:ascii="Times New Roman" w:hAnsi="Times New Roman" w:cs="Times New Roman"/>
              </w:rPr>
            </w:pPr>
            <w:r>
              <w:rPr>
                <w:rFonts w:ascii="Times New Roman" w:hAnsi="Times New Roman" w:cs="Times New Roman"/>
              </w:rPr>
              <w:t xml:space="preserve">     Congenital</w:t>
            </w:r>
          </w:p>
          <w:p w14:paraId="10E3B16D" w14:textId="77777777" w:rsidR="0080515B" w:rsidRDefault="0080515B" w:rsidP="00BE33F0">
            <w:pPr>
              <w:rPr>
                <w:rFonts w:ascii="Times New Roman" w:hAnsi="Times New Roman" w:cs="Times New Roman"/>
              </w:rPr>
            </w:pPr>
            <w:r>
              <w:rPr>
                <w:rFonts w:ascii="Times New Roman" w:hAnsi="Times New Roman" w:cs="Times New Roman"/>
              </w:rPr>
              <w:t xml:space="preserve">     Syndromic</w:t>
            </w:r>
          </w:p>
          <w:p w14:paraId="0A1A5494" w14:textId="77777777" w:rsidR="0080515B" w:rsidRPr="002016C9" w:rsidRDefault="0080515B" w:rsidP="00BE33F0">
            <w:pPr>
              <w:rPr>
                <w:rFonts w:ascii="Times New Roman" w:hAnsi="Times New Roman" w:cs="Times New Roman"/>
              </w:rPr>
            </w:pPr>
            <w:r>
              <w:rPr>
                <w:rFonts w:ascii="Times New Roman" w:hAnsi="Times New Roman" w:cs="Times New Roman"/>
              </w:rPr>
              <w:t xml:space="preserve">     Idiopathic</w:t>
            </w:r>
          </w:p>
        </w:tc>
        <w:tc>
          <w:tcPr>
            <w:tcW w:w="1465" w:type="dxa"/>
            <w:vAlign w:val="center"/>
          </w:tcPr>
          <w:p w14:paraId="2F2B6B29" w14:textId="77777777" w:rsidR="0080515B" w:rsidRDefault="0080515B" w:rsidP="00BE33F0">
            <w:pPr>
              <w:rPr>
                <w:rFonts w:ascii="Times New Roman" w:hAnsi="Times New Roman" w:cs="Times New Roman"/>
              </w:rPr>
            </w:pPr>
          </w:p>
          <w:p w14:paraId="2FBAE2FB" w14:textId="77777777" w:rsidR="0080515B" w:rsidRDefault="0080515B" w:rsidP="00BE33F0">
            <w:pPr>
              <w:rPr>
                <w:rFonts w:ascii="Times New Roman" w:hAnsi="Times New Roman" w:cs="Times New Roman"/>
              </w:rPr>
            </w:pPr>
            <w:r>
              <w:rPr>
                <w:rFonts w:ascii="Times New Roman" w:hAnsi="Times New Roman" w:cs="Times New Roman"/>
              </w:rPr>
              <w:t>48 (11.9%)</w:t>
            </w:r>
          </w:p>
          <w:p w14:paraId="2FA27DEB" w14:textId="77777777" w:rsidR="0080515B" w:rsidRDefault="0080515B" w:rsidP="00BE33F0">
            <w:pPr>
              <w:rPr>
                <w:rFonts w:ascii="Times New Roman" w:hAnsi="Times New Roman" w:cs="Times New Roman"/>
              </w:rPr>
            </w:pPr>
            <w:r>
              <w:rPr>
                <w:rFonts w:ascii="Times New Roman" w:hAnsi="Times New Roman" w:cs="Times New Roman"/>
              </w:rPr>
              <w:t>11 (16.7%)</w:t>
            </w:r>
          </w:p>
          <w:p w14:paraId="07C565D5" w14:textId="77777777" w:rsidR="0080515B" w:rsidRDefault="0080515B" w:rsidP="00BE33F0">
            <w:pPr>
              <w:rPr>
                <w:rFonts w:ascii="Times New Roman" w:hAnsi="Times New Roman" w:cs="Times New Roman"/>
              </w:rPr>
            </w:pPr>
            <w:r>
              <w:rPr>
                <w:rFonts w:ascii="Times New Roman" w:hAnsi="Times New Roman" w:cs="Times New Roman"/>
              </w:rPr>
              <w:t>9 (12.2%)</w:t>
            </w:r>
          </w:p>
          <w:p w14:paraId="3AE05E77" w14:textId="77777777" w:rsidR="0080515B" w:rsidRDefault="0080515B" w:rsidP="00BE33F0">
            <w:pPr>
              <w:rPr>
                <w:rFonts w:ascii="Times New Roman" w:hAnsi="Times New Roman" w:cs="Times New Roman"/>
              </w:rPr>
            </w:pPr>
            <w:r>
              <w:rPr>
                <w:rFonts w:ascii="Times New Roman" w:hAnsi="Times New Roman" w:cs="Times New Roman"/>
              </w:rPr>
              <w:t>11 (10.3%)</w:t>
            </w:r>
          </w:p>
          <w:p w14:paraId="4C94DD03" w14:textId="77777777" w:rsidR="0080515B" w:rsidRDefault="0080515B" w:rsidP="00BE33F0">
            <w:pPr>
              <w:rPr>
                <w:rFonts w:ascii="Times New Roman" w:hAnsi="Times New Roman" w:cs="Times New Roman"/>
              </w:rPr>
            </w:pPr>
            <w:r>
              <w:rPr>
                <w:rFonts w:ascii="Times New Roman" w:hAnsi="Times New Roman" w:cs="Times New Roman"/>
              </w:rPr>
              <w:t>9 (3.7%)</w:t>
            </w:r>
          </w:p>
          <w:p w14:paraId="05EF9782" w14:textId="77777777" w:rsidR="0080515B" w:rsidRDefault="0080515B" w:rsidP="00BE33F0">
            <w:pPr>
              <w:rPr>
                <w:rFonts w:ascii="Times New Roman" w:hAnsi="Times New Roman" w:cs="Times New Roman"/>
              </w:rPr>
            </w:pPr>
            <w:r>
              <w:rPr>
                <w:rFonts w:ascii="Times New Roman" w:hAnsi="Times New Roman" w:cs="Times New Roman"/>
              </w:rPr>
              <w:t>12 (4.7%)</w:t>
            </w:r>
          </w:p>
          <w:p w14:paraId="5393FA6B" w14:textId="77777777" w:rsidR="0080515B" w:rsidRPr="002016C9" w:rsidRDefault="0080515B" w:rsidP="00BE33F0">
            <w:pPr>
              <w:rPr>
                <w:rFonts w:ascii="Times New Roman" w:hAnsi="Times New Roman" w:cs="Times New Roman"/>
              </w:rPr>
            </w:pPr>
            <w:r>
              <w:rPr>
                <w:rFonts w:ascii="Times New Roman" w:hAnsi="Times New Roman" w:cs="Times New Roman"/>
              </w:rPr>
              <w:t>11 (3.8%)</w:t>
            </w:r>
          </w:p>
        </w:tc>
        <w:tc>
          <w:tcPr>
            <w:tcW w:w="1170" w:type="dxa"/>
            <w:vAlign w:val="center"/>
          </w:tcPr>
          <w:p w14:paraId="6EFAAA71" w14:textId="77777777" w:rsidR="0080515B" w:rsidRDefault="0080515B" w:rsidP="00BE33F0">
            <w:pPr>
              <w:rPr>
                <w:rFonts w:ascii="Times New Roman" w:hAnsi="Times New Roman" w:cs="Times New Roman"/>
              </w:rPr>
            </w:pPr>
          </w:p>
          <w:p w14:paraId="2169AD82" w14:textId="77777777" w:rsidR="0080515B" w:rsidRDefault="0080515B" w:rsidP="00BE33F0">
            <w:pPr>
              <w:rPr>
                <w:rFonts w:ascii="Times New Roman" w:hAnsi="Times New Roman" w:cs="Times New Roman"/>
              </w:rPr>
            </w:pPr>
            <w:r>
              <w:rPr>
                <w:rFonts w:ascii="Times New Roman" w:hAnsi="Times New Roman" w:cs="Times New Roman"/>
              </w:rPr>
              <w:t>&lt;0.0001*</w:t>
            </w:r>
          </w:p>
          <w:p w14:paraId="6E3222D3" w14:textId="77777777" w:rsidR="0080515B" w:rsidRDefault="0080515B" w:rsidP="00BE33F0">
            <w:pPr>
              <w:rPr>
                <w:rFonts w:ascii="Times New Roman" w:hAnsi="Times New Roman" w:cs="Times New Roman"/>
              </w:rPr>
            </w:pPr>
          </w:p>
          <w:p w14:paraId="146EE740" w14:textId="77777777" w:rsidR="0080515B" w:rsidRDefault="0080515B" w:rsidP="00BE33F0">
            <w:pPr>
              <w:rPr>
                <w:rFonts w:ascii="Times New Roman" w:hAnsi="Times New Roman" w:cs="Times New Roman"/>
              </w:rPr>
            </w:pPr>
            <w:r>
              <w:rPr>
                <w:rFonts w:ascii="Times New Roman" w:hAnsi="Times New Roman" w:cs="Times New Roman"/>
              </w:rPr>
              <w:t>0.351</w:t>
            </w:r>
          </w:p>
          <w:p w14:paraId="7DAA399E" w14:textId="77777777" w:rsidR="0080515B" w:rsidRDefault="0080515B" w:rsidP="00BE33F0">
            <w:pPr>
              <w:rPr>
                <w:rFonts w:ascii="Times New Roman" w:hAnsi="Times New Roman" w:cs="Times New Roman"/>
              </w:rPr>
            </w:pPr>
          </w:p>
          <w:p w14:paraId="06716B85" w14:textId="77777777" w:rsidR="0080515B" w:rsidRDefault="0080515B" w:rsidP="00BE33F0">
            <w:pPr>
              <w:rPr>
                <w:rFonts w:ascii="Times New Roman" w:hAnsi="Times New Roman" w:cs="Times New Roman"/>
              </w:rPr>
            </w:pPr>
            <w:r>
              <w:rPr>
                <w:rFonts w:ascii="Times New Roman" w:hAnsi="Times New Roman" w:cs="Times New Roman"/>
              </w:rPr>
              <w:t>0.036*</w:t>
            </w:r>
          </w:p>
          <w:p w14:paraId="48369061" w14:textId="77777777" w:rsidR="0080515B" w:rsidRDefault="0080515B" w:rsidP="00BE33F0">
            <w:pPr>
              <w:rPr>
                <w:rFonts w:ascii="Times New Roman" w:hAnsi="Times New Roman" w:cs="Times New Roman"/>
              </w:rPr>
            </w:pPr>
            <w:r>
              <w:rPr>
                <w:rFonts w:ascii="Times New Roman" w:hAnsi="Times New Roman" w:cs="Times New Roman"/>
              </w:rPr>
              <w:t>0.141</w:t>
            </w:r>
          </w:p>
          <w:p w14:paraId="704DA284" w14:textId="77777777" w:rsidR="0080515B" w:rsidRPr="00BD73B3" w:rsidRDefault="0080515B" w:rsidP="00BE33F0">
            <w:pPr>
              <w:rPr>
                <w:rFonts w:ascii="Times New Roman" w:hAnsi="Times New Roman" w:cs="Times New Roman"/>
              </w:rPr>
            </w:pPr>
            <w:r>
              <w:rPr>
                <w:rFonts w:ascii="Times New Roman" w:hAnsi="Times New Roman" w:cs="Times New Roman"/>
              </w:rPr>
              <w:t>0.024*</w:t>
            </w:r>
          </w:p>
        </w:tc>
      </w:tr>
      <w:tr w:rsidR="0080515B" w:rsidRPr="002016C9" w14:paraId="21B0664B" w14:textId="77777777" w:rsidTr="00BE33F0">
        <w:trPr>
          <w:trHeight w:val="377"/>
          <w:jc w:val="center"/>
        </w:trPr>
        <w:tc>
          <w:tcPr>
            <w:tcW w:w="3863" w:type="dxa"/>
            <w:vAlign w:val="center"/>
          </w:tcPr>
          <w:p w14:paraId="2D2E81D1" w14:textId="77777777" w:rsidR="0080515B" w:rsidRPr="002016C9" w:rsidRDefault="0080515B" w:rsidP="00BE33F0">
            <w:pPr>
              <w:rPr>
                <w:rFonts w:ascii="Times New Roman" w:hAnsi="Times New Roman" w:cs="Times New Roman"/>
              </w:rPr>
            </w:pPr>
            <w:r>
              <w:rPr>
                <w:rFonts w:ascii="Times New Roman" w:hAnsi="Times New Roman" w:cs="Times New Roman"/>
              </w:rPr>
              <w:t>Cobb Angle &gt; 90</w:t>
            </w:r>
          </w:p>
        </w:tc>
        <w:tc>
          <w:tcPr>
            <w:tcW w:w="1465" w:type="dxa"/>
            <w:vAlign w:val="center"/>
          </w:tcPr>
          <w:p w14:paraId="6C36FE1F" w14:textId="77777777" w:rsidR="0080515B" w:rsidRPr="002016C9" w:rsidRDefault="0080515B" w:rsidP="00BE33F0">
            <w:pPr>
              <w:rPr>
                <w:rFonts w:ascii="Times New Roman" w:hAnsi="Times New Roman" w:cs="Times New Roman"/>
              </w:rPr>
            </w:pPr>
            <w:r>
              <w:rPr>
                <w:rFonts w:ascii="Times New Roman" w:hAnsi="Times New Roman" w:cs="Times New Roman"/>
              </w:rPr>
              <w:t>13 (7.5%)</w:t>
            </w:r>
          </w:p>
        </w:tc>
        <w:tc>
          <w:tcPr>
            <w:tcW w:w="1170" w:type="dxa"/>
            <w:vAlign w:val="center"/>
          </w:tcPr>
          <w:p w14:paraId="14BFEB3E" w14:textId="77777777" w:rsidR="0080515B" w:rsidRPr="002016C9" w:rsidRDefault="0080515B" w:rsidP="00BE33F0">
            <w:pPr>
              <w:rPr>
                <w:rFonts w:ascii="Times New Roman" w:hAnsi="Times New Roman" w:cs="Times New Roman"/>
              </w:rPr>
            </w:pPr>
            <w:r>
              <w:rPr>
                <w:rFonts w:ascii="Times New Roman" w:hAnsi="Times New Roman" w:cs="Times New Roman"/>
              </w:rPr>
              <w:t>0.655</w:t>
            </w:r>
          </w:p>
        </w:tc>
      </w:tr>
      <w:tr w:rsidR="0080515B" w:rsidRPr="002016C9" w14:paraId="07CBF02E" w14:textId="77777777" w:rsidTr="00BE33F0">
        <w:trPr>
          <w:trHeight w:val="915"/>
          <w:jc w:val="center"/>
        </w:trPr>
        <w:tc>
          <w:tcPr>
            <w:tcW w:w="3863" w:type="dxa"/>
            <w:vAlign w:val="center"/>
          </w:tcPr>
          <w:p w14:paraId="07510AA4" w14:textId="77777777" w:rsidR="0080515B" w:rsidRPr="00BD73B3" w:rsidRDefault="0080515B" w:rsidP="00BE33F0">
            <w:pPr>
              <w:rPr>
                <w:rFonts w:ascii="Times New Roman" w:hAnsi="Times New Roman" w:cs="Times New Roman"/>
                <w:i/>
              </w:rPr>
            </w:pPr>
            <w:r w:rsidRPr="00BD73B3">
              <w:rPr>
                <w:rFonts w:ascii="Times New Roman" w:hAnsi="Times New Roman" w:cs="Times New Roman"/>
                <w:i/>
              </w:rPr>
              <w:t>Kyphosis Status</w:t>
            </w:r>
          </w:p>
          <w:p w14:paraId="4B11DC51" w14:textId="77777777" w:rsidR="0080515B" w:rsidRDefault="0080515B" w:rsidP="00BE33F0">
            <w:pPr>
              <w:rPr>
                <w:rFonts w:ascii="Times New Roman" w:hAnsi="Times New Roman" w:cs="Times New Roman"/>
              </w:rPr>
            </w:pPr>
            <w:r>
              <w:rPr>
                <w:rFonts w:ascii="Times New Roman" w:hAnsi="Times New Roman" w:cs="Times New Roman"/>
              </w:rPr>
              <w:t xml:space="preserve">     Abnormal Kyphosis</w:t>
            </w:r>
          </w:p>
          <w:p w14:paraId="073DE5BF" w14:textId="77777777" w:rsidR="0080515B" w:rsidRDefault="0080515B" w:rsidP="00BE33F0">
            <w:pPr>
              <w:rPr>
                <w:rFonts w:ascii="Times New Roman" w:hAnsi="Times New Roman" w:cs="Times New Roman"/>
              </w:rPr>
            </w:pPr>
            <w:r>
              <w:rPr>
                <w:rFonts w:ascii="Times New Roman" w:hAnsi="Times New Roman" w:cs="Times New Roman"/>
              </w:rPr>
              <w:t xml:space="preserve">     Hypokyphosis</w:t>
            </w:r>
          </w:p>
          <w:p w14:paraId="6CA38D73" w14:textId="77777777" w:rsidR="0080515B" w:rsidRPr="002016C9" w:rsidRDefault="0080515B" w:rsidP="00BE33F0">
            <w:pPr>
              <w:rPr>
                <w:rFonts w:ascii="Times New Roman" w:hAnsi="Times New Roman" w:cs="Times New Roman"/>
              </w:rPr>
            </w:pPr>
            <w:r>
              <w:rPr>
                <w:rFonts w:ascii="Times New Roman" w:hAnsi="Times New Roman" w:cs="Times New Roman"/>
              </w:rPr>
              <w:t xml:space="preserve">     Hyperkyphosis</w:t>
            </w:r>
          </w:p>
        </w:tc>
        <w:tc>
          <w:tcPr>
            <w:tcW w:w="1465" w:type="dxa"/>
            <w:vAlign w:val="center"/>
          </w:tcPr>
          <w:p w14:paraId="59767667" w14:textId="77777777" w:rsidR="0080515B" w:rsidRDefault="0080515B" w:rsidP="00BE33F0">
            <w:pPr>
              <w:rPr>
                <w:rFonts w:ascii="Times New Roman" w:hAnsi="Times New Roman" w:cs="Times New Roman"/>
              </w:rPr>
            </w:pPr>
          </w:p>
          <w:p w14:paraId="30A9308D" w14:textId="77777777" w:rsidR="0080515B" w:rsidRDefault="0080515B" w:rsidP="00BE33F0">
            <w:pPr>
              <w:rPr>
                <w:rFonts w:ascii="Times New Roman" w:hAnsi="Times New Roman" w:cs="Times New Roman"/>
              </w:rPr>
            </w:pPr>
            <w:r>
              <w:rPr>
                <w:rFonts w:ascii="Times New Roman" w:hAnsi="Times New Roman" w:cs="Times New Roman"/>
              </w:rPr>
              <w:t>26 (5.3%)</w:t>
            </w:r>
          </w:p>
          <w:p w14:paraId="65B8509C" w14:textId="77777777" w:rsidR="0080515B" w:rsidRDefault="0080515B" w:rsidP="00BE33F0">
            <w:pPr>
              <w:rPr>
                <w:rFonts w:ascii="Times New Roman" w:hAnsi="Times New Roman" w:cs="Times New Roman"/>
              </w:rPr>
            </w:pPr>
            <w:r>
              <w:rPr>
                <w:rFonts w:ascii="Times New Roman" w:hAnsi="Times New Roman" w:cs="Times New Roman"/>
              </w:rPr>
              <w:t>1 (1.2%)</w:t>
            </w:r>
          </w:p>
          <w:p w14:paraId="6AF96422" w14:textId="77777777" w:rsidR="0080515B" w:rsidRPr="002016C9" w:rsidRDefault="0080515B" w:rsidP="00BE33F0">
            <w:pPr>
              <w:rPr>
                <w:rFonts w:ascii="Times New Roman" w:hAnsi="Times New Roman" w:cs="Times New Roman"/>
              </w:rPr>
            </w:pPr>
            <w:r>
              <w:rPr>
                <w:rFonts w:ascii="Times New Roman" w:hAnsi="Times New Roman" w:cs="Times New Roman"/>
              </w:rPr>
              <w:t>25 (6.2%)</w:t>
            </w:r>
          </w:p>
        </w:tc>
        <w:tc>
          <w:tcPr>
            <w:tcW w:w="1170" w:type="dxa"/>
            <w:vAlign w:val="center"/>
          </w:tcPr>
          <w:p w14:paraId="7C836907" w14:textId="77777777" w:rsidR="0080515B" w:rsidRDefault="0080515B" w:rsidP="00BE33F0">
            <w:pPr>
              <w:rPr>
                <w:rFonts w:ascii="Times New Roman" w:hAnsi="Times New Roman" w:cs="Times New Roman"/>
              </w:rPr>
            </w:pPr>
          </w:p>
          <w:p w14:paraId="58613B56" w14:textId="77777777" w:rsidR="0080515B" w:rsidRDefault="0080515B" w:rsidP="00BE33F0">
            <w:pPr>
              <w:rPr>
                <w:rFonts w:ascii="Times New Roman" w:hAnsi="Times New Roman" w:cs="Times New Roman"/>
              </w:rPr>
            </w:pPr>
            <w:r>
              <w:rPr>
                <w:rFonts w:ascii="Times New Roman" w:hAnsi="Times New Roman" w:cs="Times New Roman"/>
              </w:rPr>
              <w:t>0.047*</w:t>
            </w:r>
          </w:p>
          <w:p w14:paraId="252E2D95" w14:textId="77777777" w:rsidR="0080515B" w:rsidRDefault="0080515B" w:rsidP="00BE33F0">
            <w:pPr>
              <w:rPr>
                <w:rFonts w:ascii="Times New Roman" w:hAnsi="Times New Roman" w:cs="Times New Roman"/>
              </w:rPr>
            </w:pPr>
            <w:r>
              <w:rPr>
                <w:rFonts w:ascii="Times New Roman" w:hAnsi="Times New Roman" w:cs="Times New Roman"/>
              </w:rPr>
              <w:t>0.084</w:t>
            </w:r>
          </w:p>
          <w:p w14:paraId="779770B6" w14:textId="77777777" w:rsidR="0080515B" w:rsidRPr="002016C9" w:rsidRDefault="0080515B" w:rsidP="00BE33F0">
            <w:pPr>
              <w:rPr>
                <w:rFonts w:ascii="Times New Roman" w:hAnsi="Times New Roman" w:cs="Times New Roman"/>
              </w:rPr>
            </w:pPr>
            <w:r>
              <w:rPr>
                <w:rFonts w:ascii="Times New Roman" w:hAnsi="Times New Roman" w:cs="Times New Roman"/>
              </w:rPr>
              <w:t>0.464</w:t>
            </w:r>
          </w:p>
        </w:tc>
      </w:tr>
      <w:tr w:rsidR="0080515B" w:rsidRPr="002016C9" w14:paraId="14FAB997" w14:textId="77777777" w:rsidTr="00BE33F0">
        <w:trPr>
          <w:trHeight w:val="332"/>
          <w:jc w:val="center"/>
        </w:trPr>
        <w:tc>
          <w:tcPr>
            <w:tcW w:w="3863" w:type="dxa"/>
            <w:vAlign w:val="center"/>
          </w:tcPr>
          <w:p w14:paraId="35C9C424" w14:textId="77777777" w:rsidR="0080515B" w:rsidRPr="002016C9" w:rsidRDefault="0080515B" w:rsidP="00BE33F0">
            <w:pPr>
              <w:rPr>
                <w:rFonts w:ascii="Times New Roman" w:hAnsi="Times New Roman" w:cs="Times New Roman"/>
              </w:rPr>
            </w:pPr>
            <w:r>
              <w:rPr>
                <w:rFonts w:ascii="Times New Roman" w:hAnsi="Times New Roman" w:cs="Times New Roman"/>
              </w:rPr>
              <w:t>Non-Ambulatory</w:t>
            </w:r>
          </w:p>
        </w:tc>
        <w:tc>
          <w:tcPr>
            <w:tcW w:w="1465" w:type="dxa"/>
            <w:vAlign w:val="center"/>
          </w:tcPr>
          <w:p w14:paraId="18767218" w14:textId="77777777" w:rsidR="0080515B" w:rsidRPr="002016C9" w:rsidRDefault="0080515B" w:rsidP="00BE33F0">
            <w:pPr>
              <w:rPr>
                <w:rFonts w:ascii="Times New Roman" w:hAnsi="Times New Roman" w:cs="Times New Roman"/>
              </w:rPr>
            </w:pPr>
            <w:r>
              <w:rPr>
                <w:rFonts w:ascii="Times New Roman" w:hAnsi="Times New Roman" w:cs="Times New Roman"/>
              </w:rPr>
              <w:t>57 (11.7%)</w:t>
            </w:r>
          </w:p>
        </w:tc>
        <w:tc>
          <w:tcPr>
            <w:tcW w:w="1170" w:type="dxa"/>
            <w:vAlign w:val="center"/>
          </w:tcPr>
          <w:p w14:paraId="1303D478" w14:textId="77777777" w:rsidR="0080515B" w:rsidRPr="002016C9" w:rsidRDefault="0080515B" w:rsidP="00BE33F0">
            <w:pPr>
              <w:rPr>
                <w:rFonts w:ascii="Times New Roman" w:hAnsi="Times New Roman" w:cs="Times New Roman"/>
              </w:rPr>
            </w:pPr>
            <w:r>
              <w:rPr>
                <w:rFonts w:ascii="Times New Roman" w:hAnsi="Times New Roman" w:cs="Times New Roman"/>
              </w:rPr>
              <w:t>&lt;0.0001*</w:t>
            </w:r>
          </w:p>
        </w:tc>
      </w:tr>
      <w:tr w:rsidR="0080515B" w:rsidRPr="002016C9" w14:paraId="7F6194AB" w14:textId="77777777" w:rsidTr="00BE33F0">
        <w:trPr>
          <w:trHeight w:val="350"/>
          <w:jc w:val="center"/>
        </w:trPr>
        <w:tc>
          <w:tcPr>
            <w:tcW w:w="3863" w:type="dxa"/>
            <w:vAlign w:val="center"/>
          </w:tcPr>
          <w:p w14:paraId="71AE9FF5" w14:textId="77777777" w:rsidR="0080515B" w:rsidRPr="005376C7" w:rsidRDefault="0080515B" w:rsidP="00BE33F0">
            <w:pPr>
              <w:rPr>
                <w:rFonts w:ascii="Times New Roman" w:hAnsi="Times New Roman" w:cs="Times New Roman"/>
                <w:i/>
              </w:rPr>
            </w:pPr>
            <w:r w:rsidRPr="005376C7">
              <w:rPr>
                <w:rFonts w:ascii="Times New Roman" w:hAnsi="Times New Roman" w:cs="Times New Roman"/>
                <w:i/>
              </w:rPr>
              <w:t>Comorbidities</w:t>
            </w:r>
          </w:p>
          <w:p w14:paraId="533B6C7E" w14:textId="77777777" w:rsidR="0080515B" w:rsidRDefault="0080515B" w:rsidP="00BE33F0">
            <w:pPr>
              <w:rPr>
                <w:rFonts w:ascii="Times New Roman" w:hAnsi="Times New Roman" w:cs="Times New Roman"/>
              </w:rPr>
            </w:pPr>
            <w:r>
              <w:rPr>
                <w:rFonts w:ascii="Times New Roman" w:hAnsi="Times New Roman" w:cs="Times New Roman"/>
              </w:rPr>
              <w:t xml:space="preserve">     Cardiac</w:t>
            </w:r>
          </w:p>
          <w:p w14:paraId="29BE0C98" w14:textId="77777777" w:rsidR="0080515B" w:rsidRDefault="0080515B" w:rsidP="00BE33F0">
            <w:pPr>
              <w:rPr>
                <w:rFonts w:ascii="Times New Roman" w:hAnsi="Times New Roman" w:cs="Times New Roman"/>
              </w:rPr>
            </w:pPr>
            <w:r>
              <w:rPr>
                <w:rFonts w:ascii="Times New Roman" w:hAnsi="Times New Roman" w:cs="Times New Roman"/>
              </w:rPr>
              <w:t xml:space="preserve">     Developmental Delay</w:t>
            </w:r>
          </w:p>
          <w:p w14:paraId="7AF5EF7E" w14:textId="77777777" w:rsidR="0080515B" w:rsidRDefault="0080515B" w:rsidP="00BE33F0">
            <w:pPr>
              <w:rPr>
                <w:rFonts w:ascii="Times New Roman" w:hAnsi="Times New Roman" w:cs="Times New Roman"/>
              </w:rPr>
            </w:pPr>
            <w:r>
              <w:rPr>
                <w:rFonts w:ascii="Times New Roman" w:hAnsi="Times New Roman" w:cs="Times New Roman"/>
              </w:rPr>
              <w:t xml:space="preserve">     Endocrine</w:t>
            </w:r>
          </w:p>
          <w:p w14:paraId="47F1B187" w14:textId="77777777" w:rsidR="0080515B" w:rsidRDefault="0080515B" w:rsidP="00BE33F0">
            <w:pPr>
              <w:rPr>
                <w:rFonts w:ascii="Times New Roman" w:hAnsi="Times New Roman" w:cs="Times New Roman"/>
              </w:rPr>
            </w:pPr>
            <w:r>
              <w:rPr>
                <w:rFonts w:ascii="Times New Roman" w:hAnsi="Times New Roman" w:cs="Times New Roman"/>
              </w:rPr>
              <w:t xml:space="preserve">     Gastrointestinal</w:t>
            </w:r>
          </w:p>
          <w:p w14:paraId="1E347285" w14:textId="77777777" w:rsidR="0080515B" w:rsidRDefault="0080515B" w:rsidP="00BE33F0">
            <w:pPr>
              <w:rPr>
                <w:rFonts w:ascii="Times New Roman" w:hAnsi="Times New Roman" w:cs="Times New Roman"/>
              </w:rPr>
            </w:pPr>
            <w:r>
              <w:rPr>
                <w:rFonts w:ascii="Times New Roman" w:hAnsi="Times New Roman" w:cs="Times New Roman"/>
              </w:rPr>
              <w:t xml:space="preserve">     Immunologic</w:t>
            </w:r>
          </w:p>
          <w:p w14:paraId="5D1A1010" w14:textId="77777777" w:rsidR="0080515B" w:rsidRDefault="0080515B" w:rsidP="00BE33F0">
            <w:pPr>
              <w:rPr>
                <w:rFonts w:ascii="Times New Roman" w:hAnsi="Times New Roman" w:cs="Times New Roman"/>
              </w:rPr>
            </w:pPr>
            <w:r>
              <w:rPr>
                <w:rFonts w:ascii="Times New Roman" w:hAnsi="Times New Roman" w:cs="Times New Roman"/>
              </w:rPr>
              <w:t xml:space="preserve">     Musculoskeletal</w:t>
            </w:r>
          </w:p>
          <w:p w14:paraId="4BE7150C" w14:textId="77777777" w:rsidR="0080515B" w:rsidRDefault="0080515B" w:rsidP="00BE33F0">
            <w:pPr>
              <w:rPr>
                <w:rFonts w:ascii="Times New Roman" w:hAnsi="Times New Roman" w:cs="Times New Roman"/>
              </w:rPr>
            </w:pPr>
            <w:r>
              <w:rPr>
                <w:rFonts w:ascii="Times New Roman" w:hAnsi="Times New Roman" w:cs="Times New Roman"/>
              </w:rPr>
              <w:t xml:space="preserve">     Neurologic</w:t>
            </w:r>
          </w:p>
          <w:p w14:paraId="7B1F4206" w14:textId="77777777" w:rsidR="0080515B" w:rsidRDefault="0080515B" w:rsidP="00BE33F0">
            <w:pPr>
              <w:rPr>
                <w:rFonts w:ascii="Times New Roman" w:hAnsi="Times New Roman" w:cs="Times New Roman"/>
              </w:rPr>
            </w:pPr>
            <w:r>
              <w:rPr>
                <w:rFonts w:ascii="Times New Roman" w:hAnsi="Times New Roman" w:cs="Times New Roman"/>
              </w:rPr>
              <w:t xml:space="preserve">     Nutritional</w:t>
            </w:r>
          </w:p>
          <w:p w14:paraId="7934EA1F" w14:textId="77777777" w:rsidR="0080515B" w:rsidRDefault="0080515B" w:rsidP="00BE33F0">
            <w:pPr>
              <w:rPr>
                <w:rFonts w:ascii="Times New Roman" w:hAnsi="Times New Roman" w:cs="Times New Roman"/>
              </w:rPr>
            </w:pPr>
            <w:r>
              <w:rPr>
                <w:rFonts w:ascii="Times New Roman" w:hAnsi="Times New Roman" w:cs="Times New Roman"/>
              </w:rPr>
              <w:t xml:space="preserve">     Pulmonary</w:t>
            </w:r>
          </w:p>
          <w:p w14:paraId="7E069088" w14:textId="77777777" w:rsidR="0080515B" w:rsidRPr="002016C9" w:rsidRDefault="0080515B" w:rsidP="00BE33F0">
            <w:pPr>
              <w:rPr>
                <w:rFonts w:ascii="Times New Roman" w:hAnsi="Times New Roman" w:cs="Times New Roman"/>
              </w:rPr>
            </w:pPr>
            <w:r>
              <w:rPr>
                <w:rFonts w:ascii="Times New Roman" w:hAnsi="Times New Roman" w:cs="Times New Roman"/>
              </w:rPr>
              <w:t xml:space="preserve">     Urinary Incontinence</w:t>
            </w:r>
          </w:p>
        </w:tc>
        <w:tc>
          <w:tcPr>
            <w:tcW w:w="1465" w:type="dxa"/>
            <w:vAlign w:val="center"/>
          </w:tcPr>
          <w:p w14:paraId="5CE3B98D" w14:textId="77777777" w:rsidR="0080515B" w:rsidRDefault="0080515B" w:rsidP="00BE33F0">
            <w:pPr>
              <w:rPr>
                <w:rFonts w:ascii="Times New Roman" w:hAnsi="Times New Roman" w:cs="Times New Roman"/>
              </w:rPr>
            </w:pPr>
          </w:p>
          <w:p w14:paraId="275231B6" w14:textId="77777777" w:rsidR="0080515B" w:rsidRDefault="0080515B" w:rsidP="00BE33F0">
            <w:pPr>
              <w:rPr>
                <w:rFonts w:ascii="Times New Roman" w:hAnsi="Times New Roman" w:cs="Times New Roman"/>
              </w:rPr>
            </w:pPr>
            <w:r>
              <w:rPr>
                <w:rFonts w:ascii="Times New Roman" w:hAnsi="Times New Roman" w:cs="Times New Roman"/>
              </w:rPr>
              <w:t>9 (5.0%)</w:t>
            </w:r>
          </w:p>
          <w:p w14:paraId="1749E4A4" w14:textId="77777777" w:rsidR="0080515B" w:rsidRDefault="0080515B" w:rsidP="00BE33F0">
            <w:pPr>
              <w:rPr>
                <w:rFonts w:ascii="Times New Roman" w:hAnsi="Times New Roman" w:cs="Times New Roman"/>
              </w:rPr>
            </w:pPr>
            <w:r>
              <w:rPr>
                <w:rFonts w:ascii="Times New Roman" w:hAnsi="Times New Roman" w:cs="Times New Roman"/>
              </w:rPr>
              <w:t>31 (10.5%)</w:t>
            </w:r>
          </w:p>
          <w:p w14:paraId="08D53309" w14:textId="77777777" w:rsidR="0080515B" w:rsidRDefault="0080515B" w:rsidP="00BE33F0">
            <w:pPr>
              <w:rPr>
                <w:rFonts w:ascii="Times New Roman" w:hAnsi="Times New Roman" w:cs="Times New Roman"/>
              </w:rPr>
            </w:pPr>
            <w:r>
              <w:rPr>
                <w:rFonts w:ascii="Times New Roman" w:hAnsi="Times New Roman" w:cs="Times New Roman"/>
              </w:rPr>
              <w:t>1 (20.0%)</w:t>
            </w:r>
          </w:p>
          <w:p w14:paraId="7613905F" w14:textId="77777777" w:rsidR="0080515B" w:rsidRDefault="0080515B" w:rsidP="00BE33F0">
            <w:pPr>
              <w:rPr>
                <w:rFonts w:ascii="Times New Roman" w:hAnsi="Times New Roman" w:cs="Times New Roman"/>
              </w:rPr>
            </w:pPr>
            <w:r>
              <w:rPr>
                <w:rFonts w:ascii="Times New Roman" w:hAnsi="Times New Roman" w:cs="Times New Roman"/>
              </w:rPr>
              <w:t>25 (12.4%)</w:t>
            </w:r>
          </w:p>
          <w:p w14:paraId="67967DE0" w14:textId="77777777" w:rsidR="0080515B" w:rsidRDefault="0080515B" w:rsidP="00BE33F0">
            <w:pPr>
              <w:rPr>
                <w:rFonts w:ascii="Times New Roman" w:hAnsi="Times New Roman" w:cs="Times New Roman"/>
              </w:rPr>
            </w:pPr>
            <w:r>
              <w:rPr>
                <w:rFonts w:ascii="Times New Roman" w:hAnsi="Times New Roman" w:cs="Times New Roman"/>
              </w:rPr>
              <w:t>0 (0.0%)</w:t>
            </w:r>
          </w:p>
          <w:p w14:paraId="1367F3D6" w14:textId="77777777" w:rsidR="0080515B" w:rsidRDefault="0080515B" w:rsidP="00BE33F0">
            <w:pPr>
              <w:rPr>
                <w:rFonts w:ascii="Times New Roman" w:hAnsi="Times New Roman" w:cs="Times New Roman"/>
              </w:rPr>
            </w:pPr>
            <w:r>
              <w:rPr>
                <w:rFonts w:ascii="Times New Roman" w:hAnsi="Times New Roman" w:cs="Times New Roman"/>
              </w:rPr>
              <w:t>13 (7.9%)</w:t>
            </w:r>
          </w:p>
          <w:p w14:paraId="16021D14" w14:textId="77777777" w:rsidR="0080515B" w:rsidRDefault="0080515B" w:rsidP="00BE33F0">
            <w:pPr>
              <w:rPr>
                <w:rFonts w:ascii="Times New Roman" w:hAnsi="Times New Roman" w:cs="Times New Roman"/>
              </w:rPr>
            </w:pPr>
            <w:r>
              <w:rPr>
                <w:rFonts w:ascii="Times New Roman" w:hAnsi="Times New Roman" w:cs="Times New Roman"/>
              </w:rPr>
              <w:t>14 (8.2%)</w:t>
            </w:r>
          </w:p>
          <w:p w14:paraId="6A2254EA" w14:textId="77777777" w:rsidR="0080515B" w:rsidRDefault="0080515B" w:rsidP="00BE33F0">
            <w:pPr>
              <w:rPr>
                <w:rFonts w:ascii="Times New Roman" w:hAnsi="Times New Roman" w:cs="Times New Roman"/>
              </w:rPr>
            </w:pPr>
            <w:r>
              <w:rPr>
                <w:rFonts w:ascii="Times New Roman" w:hAnsi="Times New Roman" w:cs="Times New Roman"/>
              </w:rPr>
              <w:t>0 (0.0%)</w:t>
            </w:r>
          </w:p>
          <w:p w14:paraId="42208E3E" w14:textId="77777777" w:rsidR="0080515B" w:rsidRDefault="0080515B" w:rsidP="00BE33F0">
            <w:pPr>
              <w:rPr>
                <w:rFonts w:ascii="Times New Roman" w:hAnsi="Times New Roman" w:cs="Times New Roman"/>
              </w:rPr>
            </w:pPr>
            <w:r>
              <w:rPr>
                <w:rFonts w:ascii="Times New Roman" w:hAnsi="Times New Roman" w:cs="Times New Roman"/>
              </w:rPr>
              <w:t>24 (9.0%)</w:t>
            </w:r>
          </w:p>
          <w:p w14:paraId="75FDB650" w14:textId="77777777" w:rsidR="0080515B" w:rsidRPr="002016C9" w:rsidRDefault="0080515B" w:rsidP="00BE33F0">
            <w:pPr>
              <w:rPr>
                <w:rFonts w:ascii="Times New Roman" w:hAnsi="Times New Roman" w:cs="Times New Roman"/>
              </w:rPr>
            </w:pPr>
            <w:r>
              <w:rPr>
                <w:rFonts w:ascii="Times New Roman" w:hAnsi="Times New Roman" w:cs="Times New Roman"/>
              </w:rPr>
              <w:t>17 (14.4%)</w:t>
            </w:r>
          </w:p>
        </w:tc>
        <w:tc>
          <w:tcPr>
            <w:tcW w:w="1170" w:type="dxa"/>
            <w:vAlign w:val="center"/>
          </w:tcPr>
          <w:p w14:paraId="21481A71" w14:textId="77777777" w:rsidR="0080515B" w:rsidRDefault="0080515B" w:rsidP="00BE33F0">
            <w:pPr>
              <w:rPr>
                <w:rFonts w:ascii="Times New Roman" w:hAnsi="Times New Roman" w:cs="Times New Roman"/>
              </w:rPr>
            </w:pPr>
          </w:p>
          <w:p w14:paraId="662B32CC" w14:textId="77777777" w:rsidR="0080515B" w:rsidRDefault="0080515B" w:rsidP="00BE33F0">
            <w:pPr>
              <w:rPr>
                <w:rFonts w:ascii="Times New Roman" w:hAnsi="Times New Roman" w:cs="Times New Roman"/>
              </w:rPr>
            </w:pPr>
            <w:r>
              <w:rPr>
                <w:rFonts w:ascii="Times New Roman" w:hAnsi="Times New Roman" w:cs="Times New Roman"/>
              </w:rPr>
              <w:t>0.315</w:t>
            </w:r>
          </w:p>
          <w:p w14:paraId="22489C78" w14:textId="77777777" w:rsidR="0080515B" w:rsidRDefault="0080515B" w:rsidP="00BE33F0">
            <w:pPr>
              <w:rPr>
                <w:rFonts w:ascii="Times New Roman" w:hAnsi="Times New Roman" w:cs="Times New Roman"/>
              </w:rPr>
            </w:pPr>
            <w:r>
              <w:rPr>
                <w:rFonts w:ascii="Times New Roman" w:hAnsi="Times New Roman" w:cs="Times New Roman"/>
              </w:rPr>
              <w:t>0.003*</w:t>
            </w:r>
          </w:p>
          <w:p w14:paraId="56A771B2" w14:textId="77777777" w:rsidR="0080515B" w:rsidRDefault="0080515B" w:rsidP="00BE33F0">
            <w:pPr>
              <w:rPr>
                <w:rFonts w:ascii="Times New Roman" w:hAnsi="Times New Roman" w:cs="Times New Roman"/>
              </w:rPr>
            </w:pPr>
            <w:r>
              <w:rPr>
                <w:rFonts w:ascii="Times New Roman" w:hAnsi="Times New Roman" w:cs="Times New Roman"/>
              </w:rPr>
              <w:t>0.238</w:t>
            </w:r>
          </w:p>
          <w:p w14:paraId="70C1AC27" w14:textId="77777777" w:rsidR="0080515B" w:rsidRDefault="0080515B" w:rsidP="00BE33F0">
            <w:pPr>
              <w:rPr>
                <w:rFonts w:ascii="Times New Roman" w:hAnsi="Times New Roman" w:cs="Times New Roman"/>
              </w:rPr>
            </w:pPr>
            <w:r>
              <w:rPr>
                <w:rFonts w:ascii="Times New Roman" w:hAnsi="Times New Roman" w:cs="Times New Roman"/>
              </w:rPr>
              <w:t>0.0004*</w:t>
            </w:r>
          </w:p>
          <w:p w14:paraId="50F642FC" w14:textId="77777777" w:rsidR="0080515B" w:rsidRDefault="0080515B" w:rsidP="00BE33F0">
            <w:pPr>
              <w:rPr>
                <w:rFonts w:ascii="Times New Roman" w:hAnsi="Times New Roman" w:cs="Times New Roman"/>
              </w:rPr>
            </w:pPr>
            <w:r>
              <w:rPr>
                <w:rFonts w:ascii="Times New Roman" w:hAnsi="Times New Roman" w:cs="Times New Roman"/>
              </w:rPr>
              <w:t>0.508</w:t>
            </w:r>
          </w:p>
          <w:p w14:paraId="1274B044" w14:textId="77777777" w:rsidR="0080515B" w:rsidRDefault="0080515B" w:rsidP="00BE33F0">
            <w:pPr>
              <w:rPr>
                <w:rFonts w:ascii="Times New Roman" w:hAnsi="Times New Roman" w:cs="Times New Roman"/>
              </w:rPr>
            </w:pPr>
            <w:r>
              <w:rPr>
                <w:rFonts w:ascii="Times New Roman" w:hAnsi="Times New Roman" w:cs="Times New Roman"/>
              </w:rPr>
              <w:t>0.538</w:t>
            </w:r>
          </w:p>
          <w:p w14:paraId="219AD7B4" w14:textId="77777777" w:rsidR="0080515B" w:rsidRDefault="0080515B" w:rsidP="00BE33F0">
            <w:pPr>
              <w:rPr>
                <w:rFonts w:ascii="Times New Roman" w:hAnsi="Times New Roman" w:cs="Times New Roman"/>
              </w:rPr>
            </w:pPr>
            <w:r>
              <w:rPr>
                <w:rFonts w:ascii="Times New Roman" w:hAnsi="Times New Roman" w:cs="Times New Roman"/>
              </w:rPr>
              <w:t>0.422</w:t>
            </w:r>
          </w:p>
          <w:p w14:paraId="4C51D44E" w14:textId="77777777" w:rsidR="0080515B" w:rsidRDefault="0080515B" w:rsidP="00BE33F0">
            <w:pPr>
              <w:rPr>
                <w:rFonts w:ascii="Times New Roman" w:hAnsi="Times New Roman" w:cs="Times New Roman"/>
              </w:rPr>
            </w:pPr>
            <w:r>
              <w:rPr>
                <w:rFonts w:ascii="Times New Roman" w:hAnsi="Times New Roman" w:cs="Times New Roman"/>
              </w:rPr>
              <w:t>0.445</w:t>
            </w:r>
          </w:p>
          <w:p w14:paraId="7A4A8BD9" w14:textId="77777777" w:rsidR="0080515B" w:rsidRDefault="0080515B" w:rsidP="00BE33F0">
            <w:pPr>
              <w:rPr>
                <w:rFonts w:ascii="Times New Roman" w:hAnsi="Times New Roman" w:cs="Times New Roman"/>
              </w:rPr>
            </w:pPr>
            <w:r>
              <w:rPr>
                <w:rFonts w:ascii="Times New Roman" w:hAnsi="Times New Roman" w:cs="Times New Roman"/>
              </w:rPr>
              <w:t>0.099</w:t>
            </w:r>
          </w:p>
          <w:p w14:paraId="18E40A08" w14:textId="77777777" w:rsidR="0080515B" w:rsidRPr="002016C9" w:rsidRDefault="0080515B" w:rsidP="00BE33F0">
            <w:pPr>
              <w:rPr>
                <w:rFonts w:ascii="Times New Roman" w:hAnsi="Times New Roman" w:cs="Times New Roman"/>
              </w:rPr>
            </w:pPr>
            <w:r>
              <w:rPr>
                <w:rFonts w:ascii="Times New Roman" w:hAnsi="Times New Roman" w:cs="Times New Roman"/>
              </w:rPr>
              <w:t>0.0005*</w:t>
            </w:r>
          </w:p>
        </w:tc>
      </w:tr>
      <w:tr w:rsidR="0080515B" w:rsidRPr="002016C9" w14:paraId="7BA7E3C5" w14:textId="77777777" w:rsidTr="00BE33F0">
        <w:trPr>
          <w:trHeight w:val="981"/>
          <w:jc w:val="center"/>
        </w:trPr>
        <w:tc>
          <w:tcPr>
            <w:tcW w:w="3863" w:type="dxa"/>
            <w:vAlign w:val="center"/>
          </w:tcPr>
          <w:p w14:paraId="5D915410" w14:textId="77777777" w:rsidR="0080515B" w:rsidRPr="005376C7" w:rsidRDefault="0080515B" w:rsidP="00BE33F0">
            <w:pPr>
              <w:rPr>
                <w:rFonts w:ascii="Times New Roman" w:hAnsi="Times New Roman" w:cs="Times New Roman"/>
                <w:i/>
              </w:rPr>
            </w:pPr>
            <w:r w:rsidRPr="005376C7">
              <w:rPr>
                <w:rFonts w:ascii="Times New Roman" w:hAnsi="Times New Roman" w:cs="Times New Roman"/>
                <w:i/>
              </w:rPr>
              <w:t>Assistive Devices</w:t>
            </w:r>
          </w:p>
          <w:p w14:paraId="2B52D20A" w14:textId="77777777" w:rsidR="0080515B" w:rsidRDefault="0080515B" w:rsidP="00BE33F0">
            <w:pPr>
              <w:rPr>
                <w:rFonts w:ascii="Times New Roman" w:hAnsi="Times New Roman" w:cs="Times New Roman"/>
              </w:rPr>
            </w:pPr>
            <w:r>
              <w:rPr>
                <w:rFonts w:ascii="Times New Roman" w:hAnsi="Times New Roman" w:cs="Times New Roman"/>
              </w:rPr>
              <w:t xml:space="preserve">     Gastric Tube</w:t>
            </w:r>
          </w:p>
          <w:p w14:paraId="23509683" w14:textId="77777777" w:rsidR="0080515B" w:rsidRDefault="0080515B" w:rsidP="00BE33F0">
            <w:pPr>
              <w:rPr>
                <w:rFonts w:ascii="Times New Roman" w:hAnsi="Times New Roman" w:cs="Times New Roman"/>
              </w:rPr>
            </w:pPr>
            <w:r>
              <w:rPr>
                <w:rFonts w:ascii="Times New Roman" w:hAnsi="Times New Roman" w:cs="Times New Roman"/>
              </w:rPr>
              <w:t xml:space="preserve">     Respiratory Assistance</w:t>
            </w:r>
          </w:p>
          <w:p w14:paraId="65AAE100" w14:textId="77777777" w:rsidR="0080515B" w:rsidRPr="002016C9" w:rsidRDefault="0080515B" w:rsidP="00BE33F0">
            <w:pPr>
              <w:rPr>
                <w:rFonts w:ascii="Times New Roman" w:hAnsi="Times New Roman" w:cs="Times New Roman"/>
              </w:rPr>
            </w:pPr>
            <w:r>
              <w:rPr>
                <w:rFonts w:ascii="Times New Roman" w:hAnsi="Times New Roman" w:cs="Times New Roman"/>
              </w:rPr>
              <w:t xml:space="preserve">     Ventriculoperitoneal shunt</w:t>
            </w:r>
          </w:p>
        </w:tc>
        <w:tc>
          <w:tcPr>
            <w:tcW w:w="1465" w:type="dxa"/>
            <w:vAlign w:val="center"/>
          </w:tcPr>
          <w:p w14:paraId="6786ACCA" w14:textId="77777777" w:rsidR="0080515B" w:rsidRDefault="0080515B" w:rsidP="00BE33F0">
            <w:pPr>
              <w:rPr>
                <w:rFonts w:ascii="Times New Roman" w:hAnsi="Times New Roman" w:cs="Times New Roman"/>
              </w:rPr>
            </w:pPr>
          </w:p>
          <w:p w14:paraId="349FC1E3" w14:textId="77777777" w:rsidR="0080515B" w:rsidRDefault="0080515B" w:rsidP="00BE33F0">
            <w:pPr>
              <w:rPr>
                <w:rFonts w:ascii="Times New Roman" w:hAnsi="Times New Roman" w:cs="Times New Roman"/>
              </w:rPr>
            </w:pPr>
            <w:r>
              <w:rPr>
                <w:rFonts w:ascii="Times New Roman" w:hAnsi="Times New Roman" w:cs="Times New Roman"/>
              </w:rPr>
              <w:t>21 (12.1%)</w:t>
            </w:r>
          </w:p>
          <w:p w14:paraId="6FDDE8A5" w14:textId="77777777" w:rsidR="0080515B" w:rsidRDefault="0080515B" w:rsidP="00BE33F0">
            <w:pPr>
              <w:rPr>
                <w:rFonts w:ascii="Times New Roman" w:hAnsi="Times New Roman" w:cs="Times New Roman"/>
              </w:rPr>
            </w:pPr>
            <w:r>
              <w:rPr>
                <w:rFonts w:ascii="Times New Roman" w:hAnsi="Times New Roman" w:cs="Times New Roman"/>
              </w:rPr>
              <w:t>53 (5.8%)</w:t>
            </w:r>
          </w:p>
          <w:p w14:paraId="2F32F136" w14:textId="77777777" w:rsidR="0080515B" w:rsidRPr="002016C9" w:rsidRDefault="0080515B" w:rsidP="00BE33F0">
            <w:pPr>
              <w:rPr>
                <w:rFonts w:ascii="Times New Roman" w:hAnsi="Times New Roman" w:cs="Times New Roman"/>
              </w:rPr>
            </w:pPr>
            <w:r>
              <w:rPr>
                <w:rFonts w:ascii="Times New Roman" w:hAnsi="Times New Roman" w:cs="Times New Roman"/>
              </w:rPr>
              <w:t>9 (6.2%)</w:t>
            </w:r>
          </w:p>
        </w:tc>
        <w:tc>
          <w:tcPr>
            <w:tcW w:w="1170" w:type="dxa"/>
            <w:vAlign w:val="center"/>
          </w:tcPr>
          <w:p w14:paraId="505C746A" w14:textId="77777777" w:rsidR="0080515B" w:rsidRDefault="0080515B" w:rsidP="00BE33F0">
            <w:pPr>
              <w:rPr>
                <w:rFonts w:ascii="Times New Roman" w:hAnsi="Times New Roman" w:cs="Times New Roman"/>
              </w:rPr>
            </w:pPr>
          </w:p>
          <w:p w14:paraId="05EAF182" w14:textId="77777777" w:rsidR="0080515B" w:rsidRDefault="0080515B" w:rsidP="00BE33F0">
            <w:pPr>
              <w:rPr>
                <w:rFonts w:ascii="Times New Roman" w:hAnsi="Times New Roman" w:cs="Times New Roman"/>
              </w:rPr>
            </w:pPr>
            <w:r>
              <w:rPr>
                <w:rFonts w:ascii="Times New Roman" w:hAnsi="Times New Roman" w:cs="Times New Roman"/>
              </w:rPr>
              <w:t>0.003*</w:t>
            </w:r>
          </w:p>
          <w:p w14:paraId="213FCA64" w14:textId="77777777" w:rsidR="0080515B" w:rsidRDefault="0080515B" w:rsidP="00BE33F0">
            <w:pPr>
              <w:rPr>
                <w:rFonts w:ascii="Times New Roman" w:hAnsi="Times New Roman" w:cs="Times New Roman"/>
              </w:rPr>
            </w:pPr>
            <w:r>
              <w:rPr>
                <w:rFonts w:ascii="Times New Roman" w:hAnsi="Times New Roman" w:cs="Times New Roman"/>
              </w:rPr>
              <w:t>0.023*</w:t>
            </w:r>
          </w:p>
          <w:p w14:paraId="274420B7" w14:textId="77777777" w:rsidR="0080515B" w:rsidRPr="002016C9" w:rsidRDefault="0080515B" w:rsidP="00BE33F0">
            <w:pPr>
              <w:rPr>
                <w:rFonts w:ascii="Times New Roman" w:hAnsi="Times New Roman" w:cs="Times New Roman"/>
              </w:rPr>
            </w:pPr>
            <w:r>
              <w:rPr>
                <w:rFonts w:ascii="Times New Roman" w:hAnsi="Times New Roman" w:cs="Times New Roman"/>
              </w:rPr>
              <w:t>0.0003*</w:t>
            </w:r>
          </w:p>
        </w:tc>
      </w:tr>
      <w:tr w:rsidR="0080515B" w:rsidRPr="002016C9" w14:paraId="63F89AF7" w14:textId="77777777" w:rsidTr="00BE33F0">
        <w:trPr>
          <w:trHeight w:val="377"/>
          <w:jc w:val="center"/>
        </w:trPr>
        <w:tc>
          <w:tcPr>
            <w:tcW w:w="3863" w:type="dxa"/>
            <w:vAlign w:val="center"/>
          </w:tcPr>
          <w:p w14:paraId="72D9EDDB" w14:textId="77777777" w:rsidR="0080515B" w:rsidRPr="002016C9" w:rsidRDefault="0080515B" w:rsidP="00BE33F0">
            <w:pPr>
              <w:rPr>
                <w:rFonts w:ascii="Times New Roman" w:hAnsi="Times New Roman" w:cs="Times New Roman"/>
              </w:rPr>
            </w:pPr>
            <w:r>
              <w:rPr>
                <w:rFonts w:ascii="Times New Roman" w:hAnsi="Times New Roman" w:cs="Times New Roman"/>
              </w:rPr>
              <w:t>Fused Ribs</w:t>
            </w:r>
          </w:p>
        </w:tc>
        <w:tc>
          <w:tcPr>
            <w:tcW w:w="1465" w:type="dxa"/>
            <w:vAlign w:val="center"/>
          </w:tcPr>
          <w:p w14:paraId="2D86DCFA" w14:textId="77777777" w:rsidR="0080515B" w:rsidRPr="002016C9" w:rsidRDefault="0080515B" w:rsidP="00BE33F0">
            <w:pPr>
              <w:rPr>
                <w:rFonts w:ascii="Times New Roman" w:hAnsi="Times New Roman" w:cs="Times New Roman"/>
              </w:rPr>
            </w:pPr>
            <w:r>
              <w:rPr>
                <w:rFonts w:ascii="Times New Roman" w:hAnsi="Times New Roman" w:cs="Times New Roman"/>
              </w:rPr>
              <w:t>4 (4.0%)</w:t>
            </w:r>
          </w:p>
        </w:tc>
        <w:tc>
          <w:tcPr>
            <w:tcW w:w="1170" w:type="dxa"/>
            <w:vAlign w:val="center"/>
          </w:tcPr>
          <w:p w14:paraId="29D82462" w14:textId="77777777" w:rsidR="0080515B" w:rsidRPr="002016C9" w:rsidRDefault="0080515B" w:rsidP="00BE33F0">
            <w:pPr>
              <w:rPr>
                <w:rFonts w:ascii="Times New Roman" w:hAnsi="Times New Roman" w:cs="Times New Roman"/>
              </w:rPr>
            </w:pPr>
            <w:r>
              <w:rPr>
                <w:rFonts w:ascii="Times New Roman" w:hAnsi="Times New Roman" w:cs="Times New Roman"/>
              </w:rPr>
              <w:t>0.255</w:t>
            </w:r>
          </w:p>
        </w:tc>
      </w:tr>
      <w:tr w:rsidR="0080515B" w:rsidRPr="002016C9" w14:paraId="69898BC6" w14:textId="77777777" w:rsidTr="00BE33F0">
        <w:trPr>
          <w:trHeight w:val="350"/>
          <w:jc w:val="center"/>
        </w:trPr>
        <w:tc>
          <w:tcPr>
            <w:tcW w:w="3863" w:type="dxa"/>
            <w:vAlign w:val="center"/>
          </w:tcPr>
          <w:p w14:paraId="535DEDFD" w14:textId="77777777" w:rsidR="0080515B" w:rsidRPr="00A07109" w:rsidRDefault="0080515B" w:rsidP="00BE33F0">
            <w:pPr>
              <w:rPr>
                <w:rFonts w:ascii="Times New Roman" w:hAnsi="Times New Roman" w:cs="Times New Roman"/>
              </w:rPr>
            </w:pPr>
            <w:r>
              <w:rPr>
                <w:rFonts w:ascii="Times New Roman" w:hAnsi="Times New Roman" w:cs="Times New Roman"/>
              </w:rPr>
              <w:t>Fusion Procedure</w:t>
            </w:r>
          </w:p>
        </w:tc>
        <w:tc>
          <w:tcPr>
            <w:tcW w:w="1465" w:type="dxa"/>
            <w:vAlign w:val="center"/>
          </w:tcPr>
          <w:p w14:paraId="557FF134" w14:textId="77777777" w:rsidR="0080515B" w:rsidRDefault="0080515B" w:rsidP="00BE33F0">
            <w:pPr>
              <w:rPr>
                <w:rFonts w:ascii="Times New Roman" w:hAnsi="Times New Roman" w:cs="Times New Roman"/>
              </w:rPr>
            </w:pPr>
            <w:r>
              <w:rPr>
                <w:rFonts w:ascii="Times New Roman" w:hAnsi="Times New Roman" w:cs="Times New Roman"/>
              </w:rPr>
              <w:t>11 (6.0%)</w:t>
            </w:r>
          </w:p>
        </w:tc>
        <w:tc>
          <w:tcPr>
            <w:tcW w:w="1170" w:type="dxa"/>
            <w:vAlign w:val="center"/>
          </w:tcPr>
          <w:p w14:paraId="2855401E" w14:textId="77777777" w:rsidR="0080515B" w:rsidRDefault="0080515B" w:rsidP="00BE33F0">
            <w:pPr>
              <w:rPr>
                <w:rFonts w:ascii="Times New Roman" w:hAnsi="Times New Roman" w:cs="Times New Roman"/>
              </w:rPr>
            </w:pPr>
            <w:r>
              <w:rPr>
                <w:rFonts w:ascii="Times New Roman" w:hAnsi="Times New Roman" w:cs="Times New Roman"/>
              </w:rPr>
              <w:t>0.644</w:t>
            </w:r>
          </w:p>
        </w:tc>
      </w:tr>
    </w:tbl>
    <w:p w14:paraId="19AD5563" w14:textId="77777777" w:rsidR="0080515B" w:rsidRDefault="0080515B" w:rsidP="0080515B">
      <w:pPr>
        <w:rPr>
          <w:rFonts w:ascii="Times New Roman" w:hAnsi="Times New Roman"/>
          <w:b/>
        </w:rPr>
      </w:pPr>
    </w:p>
    <w:p w14:paraId="29B16978" w14:textId="77777777" w:rsidR="0080515B" w:rsidRDefault="0080515B" w:rsidP="0080515B">
      <w:pPr>
        <w:rPr>
          <w:rFonts w:ascii="Times New Roman" w:hAnsi="Times New Roman"/>
          <w:b/>
        </w:rPr>
      </w:pPr>
    </w:p>
    <w:p w14:paraId="1627E468" w14:textId="77777777" w:rsidR="0080515B" w:rsidRDefault="0080515B" w:rsidP="0080515B">
      <w:pPr>
        <w:rPr>
          <w:rFonts w:ascii="Times New Roman" w:hAnsi="Times New Roman"/>
          <w:b/>
        </w:rPr>
      </w:pPr>
    </w:p>
    <w:p w14:paraId="13722C05" w14:textId="77777777" w:rsidR="0080515B" w:rsidRDefault="0080515B" w:rsidP="0080515B">
      <w:pPr>
        <w:rPr>
          <w:rFonts w:ascii="Times New Roman" w:hAnsi="Times New Roman"/>
          <w:b/>
        </w:rPr>
      </w:pPr>
    </w:p>
    <w:p w14:paraId="1E0F852C" w14:textId="77777777" w:rsidR="0080515B" w:rsidRDefault="0080515B" w:rsidP="0080515B">
      <w:pPr>
        <w:rPr>
          <w:rFonts w:ascii="Times New Roman" w:hAnsi="Times New Roman"/>
          <w:b/>
        </w:rPr>
      </w:pPr>
    </w:p>
    <w:p w14:paraId="690E732E" w14:textId="5C14E654" w:rsidR="0080515B" w:rsidRPr="000B6AA8" w:rsidRDefault="0080515B" w:rsidP="0080515B">
      <w:pPr>
        <w:rPr>
          <w:rFonts w:ascii="Times New Roman" w:hAnsi="Times New Roman" w:cs="Times New Roman"/>
        </w:rPr>
      </w:pPr>
      <w:r w:rsidRPr="002F5779">
        <w:rPr>
          <w:rFonts w:ascii="Times New Roman" w:hAnsi="Times New Roman"/>
          <w:b/>
        </w:rPr>
        <w:t xml:space="preserve">Table </w:t>
      </w:r>
      <w:r>
        <w:rPr>
          <w:rFonts w:ascii="Times New Roman" w:hAnsi="Times New Roman"/>
          <w:b/>
        </w:rPr>
        <w:t>2:  Surgical Site Infection Predictive Model.</w:t>
      </w:r>
    </w:p>
    <w:tbl>
      <w:tblPr>
        <w:tblStyle w:val="TableGrid"/>
        <w:tblW w:w="0" w:type="auto"/>
        <w:tblInd w:w="108" w:type="dxa"/>
        <w:tblLook w:val="04A0" w:firstRow="1" w:lastRow="0" w:firstColumn="1" w:lastColumn="0" w:noHBand="0" w:noVBand="1"/>
      </w:tblPr>
      <w:tblGrid>
        <w:gridCol w:w="4230"/>
        <w:gridCol w:w="1170"/>
        <w:gridCol w:w="1170"/>
        <w:gridCol w:w="1022"/>
        <w:gridCol w:w="868"/>
      </w:tblGrid>
      <w:tr w:rsidR="0080515B" w:rsidRPr="009A5066" w14:paraId="62442C36" w14:textId="77777777" w:rsidTr="0080515B">
        <w:tc>
          <w:tcPr>
            <w:tcW w:w="4230" w:type="dxa"/>
            <w:vMerge w:val="restart"/>
            <w:tcBorders>
              <w:right w:val="single" w:sz="4" w:space="0" w:color="F2F2F2" w:themeColor="background1" w:themeShade="F2"/>
            </w:tcBorders>
            <w:shd w:val="clear" w:color="auto" w:fill="CCCCCC"/>
            <w:vAlign w:val="center"/>
          </w:tcPr>
          <w:p w14:paraId="6A65AC36" w14:textId="77777777" w:rsidR="0080515B" w:rsidRPr="0080515B" w:rsidRDefault="0080515B" w:rsidP="00BE33F0">
            <w:pPr>
              <w:rPr>
                <w:rFonts w:ascii="Times New Roman" w:hAnsi="Times New Roman" w:cs="Times New Roman"/>
                <w:b/>
              </w:rPr>
            </w:pPr>
            <w:r w:rsidRPr="0080515B">
              <w:rPr>
                <w:rFonts w:ascii="Times New Roman" w:hAnsi="Times New Roman" w:cs="Times New Roman"/>
                <w:b/>
              </w:rPr>
              <w:t>Variables</w:t>
            </w:r>
          </w:p>
        </w:tc>
        <w:tc>
          <w:tcPr>
            <w:tcW w:w="1170" w:type="dxa"/>
            <w:vMerge w:val="restart"/>
            <w:tcBorders>
              <w:left w:val="single" w:sz="4" w:space="0" w:color="F2F2F2" w:themeColor="background1" w:themeShade="F2"/>
              <w:right w:val="single" w:sz="4" w:space="0" w:color="F2F2F2" w:themeColor="background1" w:themeShade="F2"/>
            </w:tcBorders>
            <w:shd w:val="clear" w:color="auto" w:fill="CCCCCC"/>
            <w:vAlign w:val="center"/>
          </w:tcPr>
          <w:p w14:paraId="598C8129" w14:textId="77777777" w:rsidR="0080515B" w:rsidRPr="0080515B" w:rsidRDefault="0080515B" w:rsidP="00BE33F0">
            <w:pPr>
              <w:jc w:val="center"/>
              <w:rPr>
                <w:rFonts w:ascii="Times New Roman" w:hAnsi="Times New Roman" w:cs="Times New Roman"/>
                <w:b/>
              </w:rPr>
            </w:pPr>
            <w:r w:rsidRPr="0080515B">
              <w:rPr>
                <w:rFonts w:ascii="Times New Roman" w:hAnsi="Times New Roman" w:cs="Times New Roman"/>
                <w:b/>
              </w:rPr>
              <w:t>Beta</w:t>
            </w:r>
          </w:p>
        </w:tc>
        <w:tc>
          <w:tcPr>
            <w:tcW w:w="2192" w:type="dxa"/>
            <w:gridSpan w:val="2"/>
            <w:tcBorders>
              <w:left w:val="single" w:sz="4" w:space="0" w:color="F2F2F2" w:themeColor="background1" w:themeShade="F2"/>
              <w:right w:val="single" w:sz="4" w:space="0" w:color="F2F2F2" w:themeColor="background1" w:themeShade="F2"/>
            </w:tcBorders>
            <w:shd w:val="clear" w:color="auto" w:fill="CCCCCC"/>
            <w:vAlign w:val="center"/>
          </w:tcPr>
          <w:p w14:paraId="7E43F129" w14:textId="77777777" w:rsidR="0080515B" w:rsidRPr="0080515B" w:rsidRDefault="0080515B" w:rsidP="00BE33F0">
            <w:pPr>
              <w:jc w:val="center"/>
              <w:rPr>
                <w:rFonts w:ascii="Times New Roman" w:hAnsi="Times New Roman" w:cs="Times New Roman"/>
                <w:b/>
                <w:u w:val="single"/>
              </w:rPr>
            </w:pPr>
            <w:r w:rsidRPr="0080515B">
              <w:rPr>
                <w:rFonts w:ascii="Times New Roman" w:hAnsi="Times New Roman" w:cs="Times New Roman"/>
                <w:b/>
                <w:u w:val="single"/>
              </w:rPr>
              <w:t>95% CI for Beta</w:t>
            </w:r>
          </w:p>
        </w:tc>
        <w:tc>
          <w:tcPr>
            <w:tcW w:w="868" w:type="dxa"/>
            <w:vMerge w:val="restart"/>
            <w:tcBorders>
              <w:left w:val="single" w:sz="4" w:space="0" w:color="F2F2F2" w:themeColor="background1" w:themeShade="F2"/>
            </w:tcBorders>
            <w:shd w:val="clear" w:color="auto" w:fill="CCCCCC"/>
            <w:vAlign w:val="center"/>
          </w:tcPr>
          <w:p w14:paraId="0F87A7FC" w14:textId="77777777" w:rsidR="0080515B" w:rsidRPr="0080515B" w:rsidRDefault="0080515B" w:rsidP="00BE33F0">
            <w:pPr>
              <w:jc w:val="center"/>
              <w:rPr>
                <w:rFonts w:ascii="Times New Roman" w:hAnsi="Times New Roman" w:cs="Times New Roman"/>
                <w:b/>
              </w:rPr>
            </w:pPr>
            <w:r w:rsidRPr="0080515B">
              <w:rPr>
                <w:rFonts w:ascii="Times New Roman" w:hAnsi="Times New Roman" w:cs="Times New Roman"/>
                <w:b/>
              </w:rPr>
              <w:t>OR</w:t>
            </w:r>
          </w:p>
        </w:tc>
      </w:tr>
      <w:tr w:rsidR="0080515B" w:rsidRPr="009A5066" w14:paraId="7B8FA00A" w14:textId="77777777" w:rsidTr="0080515B">
        <w:tc>
          <w:tcPr>
            <w:tcW w:w="4230" w:type="dxa"/>
            <w:vMerge/>
            <w:tcBorders>
              <w:right w:val="single" w:sz="4" w:space="0" w:color="F2F2F2" w:themeColor="background1" w:themeShade="F2"/>
            </w:tcBorders>
            <w:shd w:val="clear" w:color="auto" w:fill="CCCCCC"/>
            <w:vAlign w:val="center"/>
          </w:tcPr>
          <w:p w14:paraId="6C610043" w14:textId="77777777" w:rsidR="0080515B" w:rsidRPr="0080515B" w:rsidRDefault="0080515B" w:rsidP="00BE33F0">
            <w:pPr>
              <w:rPr>
                <w:rFonts w:ascii="Times New Roman" w:hAnsi="Times New Roman" w:cs="Times New Roman"/>
                <w:b/>
              </w:rPr>
            </w:pPr>
          </w:p>
        </w:tc>
        <w:tc>
          <w:tcPr>
            <w:tcW w:w="1170" w:type="dxa"/>
            <w:vMerge/>
            <w:tcBorders>
              <w:left w:val="single" w:sz="4" w:space="0" w:color="F2F2F2" w:themeColor="background1" w:themeShade="F2"/>
              <w:right w:val="single" w:sz="4" w:space="0" w:color="F2F2F2" w:themeColor="background1" w:themeShade="F2"/>
            </w:tcBorders>
            <w:shd w:val="clear" w:color="auto" w:fill="CCCCCC"/>
            <w:vAlign w:val="center"/>
          </w:tcPr>
          <w:p w14:paraId="6053F2B7" w14:textId="77777777" w:rsidR="0080515B" w:rsidRPr="0080515B" w:rsidRDefault="0080515B" w:rsidP="00BE33F0">
            <w:pPr>
              <w:rPr>
                <w:rFonts w:ascii="Times New Roman" w:hAnsi="Times New Roman" w:cs="Times New Roman"/>
                <w:b/>
              </w:rPr>
            </w:pPr>
          </w:p>
        </w:tc>
        <w:tc>
          <w:tcPr>
            <w:tcW w:w="117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CCCCCC"/>
            <w:vAlign w:val="center"/>
          </w:tcPr>
          <w:p w14:paraId="0F93315F" w14:textId="77777777" w:rsidR="0080515B" w:rsidRPr="0080515B" w:rsidRDefault="0080515B" w:rsidP="00BE33F0">
            <w:pPr>
              <w:jc w:val="center"/>
              <w:rPr>
                <w:rFonts w:ascii="Times New Roman" w:hAnsi="Times New Roman" w:cs="Times New Roman"/>
                <w:b/>
              </w:rPr>
            </w:pPr>
            <w:r w:rsidRPr="0080515B">
              <w:rPr>
                <w:rFonts w:ascii="Times New Roman" w:hAnsi="Times New Roman" w:cs="Times New Roman"/>
                <w:b/>
              </w:rPr>
              <w:t>Lower</w:t>
            </w:r>
          </w:p>
        </w:tc>
        <w:tc>
          <w:tcPr>
            <w:tcW w:w="1022"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CCCCCC"/>
            <w:vAlign w:val="center"/>
          </w:tcPr>
          <w:p w14:paraId="1CD9C9A7" w14:textId="77777777" w:rsidR="0080515B" w:rsidRPr="0080515B" w:rsidRDefault="0080515B" w:rsidP="00BE33F0">
            <w:pPr>
              <w:jc w:val="center"/>
              <w:rPr>
                <w:rFonts w:ascii="Times New Roman" w:hAnsi="Times New Roman" w:cs="Times New Roman"/>
                <w:b/>
              </w:rPr>
            </w:pPr>
            <w:r w:rsidRPr="0080515B">
              <w:rPr>
                <w:rFonts w:ascii="Times New Roman" w:hAnsi="Times New Roman" w:cs="Times New Roman"/>
                <w:b/>
              </w:rPr>
              <w:t>Upper</w:t>
            </w:r>
          </w:p>
        </w:tc>
        <w:tc>
          <w:tcPr>
            <w:tcW w:w="868" w:type="dxa"/>
            <w:vMerge/>
            <w:tcBorders>
              <w:left w:val="single" w:sz="4" w:space="0" w:color="F2F2F2" w:themeColor="background1" w:themeShade="F2"/>
              <w:bottom w:val="single" w:sz="4" w:space="0" w:color="auto"/>
            </w:tcBorders>
            <w:shd w:val="clear" w:color="auto" w:fill="CCCCCC"/>
            <w:vAlign w:val="center"/>
          </w:tcPr>
          <w:p w14:paraId="6A19D1B9" w14:textId="77777777" w:rsidR="0080515B" w:rsidRPr="0080515B" w:rsidRDefault="0080515B" w:rsidP="00BE33F0">
            <w:pPr>
              <w:rPr>
                <w:rFonts w:ascii="Times New Roman" w:hAnsi="Times New Roman" w:cs="Times New Roman"/>
                <w:b/>
              </w:rPr>
            </w:pPr>
          </w:p>
        </w:tc>
      </w:tr>
      <w:tr w:rsidR="0080515B" w:rsidRPr="000B6AA8" w14:paraId="3D5C829C" w14:textId="77777777" w:rsidTr="00BE33F0">
        <w:tc>
          <w:tcPr>
            <w:tcW w:w="4230" w:type="dxa"/>
            <w:vAlign w:val="center"/>
          </w:tcPr>
          <w:p w14:paraId="4FFB86CF" w14:textId="77777777" w:rsidR="0080515B" w:rsidRPr="000B6AA8" w:rsidRDefault="0080515B" w:rsidP="00BE33F0">
            <w:pPr>
              <w:rPr>
                <w:rFonts w:ascii="Times New Roman" w:hAnsi="Times New Roman" w:cs="Times New Roman"/>
              </w:rPr>
            </w:pPr>
            <w:r w:rsidRPr="000B6AA8">
              <w:rPr>
                <w:rFonts w:ascii="Times New Roman" w:hAnsi="Times New Roman" w:cs="Times New Roman"/>
              </w:rPr>
              <w:t>Neuromuscular Etiology</w:t>
            </w:r>
          </w:p>
        </w:tc>
        <w:tc>
          <w:tcPr>
            <w:tcW w:w="1170" w:type="dxa"/>
            <w:vAlign w:val="center"/>
          </w:tcPr>
          <w:p w14:paraId="7F6F91AE" w14:textId="77777777" w:rsidR="0080515B" w:rsidRPr="00DE5A3B" w:rsidRDefault="0080515B" w:rsidP="00BE33F0">
            <w:pPr>
              <w:rPr>
                <w:rFonts w:ascii="Times New Roman" w:hAnsi="Times New Roman" w:cs="Times New Roman"/>
              </w:rPr>
            </w:pPr>
            <w:r w:rsidRPr="00DE5A3B">
              <w:rPr>
                <w:rFonts w:ascii="Times New Roman" w:hAnsi="Times New Roman" w:cs="Times New Roman"/>
              </w:rPr>
              <w:t>0.828</w:t>
            </w:r>
          </w:p>
        </w:tc>
        <w:tc>
          <w:tcPr>
            <w:tcW w:w="1170" w:type="dxa"/>
            <w:vAlign w:val="center"/>
          </w:tcPr>
          <w:p w14:paraId="7634C249"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0.148</w:t>
            </w:r>
          </w:p>
        </w:tc>
        <w:tc>
          <w:tcPr>
            <w:tcW w:w="1022" w:type="dxa"/>
            <w:tcBorders>
              <w:right w:val="single" w:sz="4" w:space="0" w:color="F2F2F2" w:themeColor="background1" w:themeShade="F2"/>
            </w:tcBorders>
            <w:vAlign w:val="center"/>
          </w:tcPr>
          <w:p w14:paraId="610E50F2"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1.508</w:t>
            </w:r>
          </w:p>
        </w:tc>
        <w:tc>
          <w:tcPr>
            <w:tcW w:w="868" w:type="dxa"/>
            <w:tcBorders>
              <w:left w:val="single" w:sz="4" w:space="0" w:color="F2F2F2" w:themeColor="background1" w:themeShade="F2"/>
              <w:bottom w:val="single" w:sz="4" w:space="0" w:color="000000" w:themeColor="text1"/>
            </w:tcBorders>
            <w:vAlign w:val="center"/>
          </w:tcPr>
          <w:p w14:paraId="7D443970" w14:textId="77777777" w:rsidR="0080515B" w:rsidRPr="00DE5A3B" w:rsidRDefault="0080515B" w:rsidP="00BE33F0">
            <w:pPr>
              <w:rPr>
                <w:rFonts w:ascii="Times New Roman" w:hAnsi="Times New Roman" w:cs="Times New Roman"/>
              </w:rPr>
            </w:pPr>
            <w:r w:rsidRPr="00DE5A3B">
              <w:rPr>
                <w:rFonts w:ascii="Times New Roman" w:hAnsi="Times New Roman" w:cs="Times New Roman"/>
              </w:rPr>
              <w:t>2.289</w:t>
            </w:r>
          </w:p>
        </w:tc>
      </w:tr>
      <w:tr w:rsidR="0080515B" w:rsidRPr="000B6AA8" w14:paraId="4280630E" w14:textId="77777777" w:rsidTr="00BE33F0">
        <w:tc>
          <w:tcPr>
            <w:tcW w:w="4230" w:type="dxa"/>
            <w:vAlign w:val="center"/>
          </w:tcPr>
          <w:p w14:paraId="210B7D81" w14:textId="77777777" w:rsidR="0080515B" w:rsidRPr="000B6AA8" w:rsidRDefault="0080515B" w:rsidP="00BE33F0">
            <w:pPr>
              <w:rPr>
                <w:rFonts w:ascii="Times New Roman" w:hAnsi="Times New Roman" w:cs="Times New Roman"/>
              </w:rPr>
            </w:pPr>
            <w:r>
              <w:rPr>
                <w:rFonts w:ascii="Times New Roman" w:hAnsi="Times New Roman" w:cs="Times New Roman"/>
              </w:rPr>
              <w:t>Myelomeningocele (Spina Bifida)</w:t>
            </w:r>
          </w:p>
        </w:tc>
        <w:tc>
          <w:tcPr>
            <w:tcW w:w="1170" w:type="dxa"/>
            <w:vAlign w:val="center"/>
          </w:tcPr>
          <w:p w14:paraId="50DA87BE"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0.376</w:t>
            </w:r>
          </w:p>
        </w:tc>
        <w:tc>
          <w:tcPr>
            <w:tcW w:w="1170" w:type="dxa"/>
            <w:vAlign w:val="center"/>
          </w:tcPr>
          <w:p w14:paraId="6A96619B"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-0.727</w:t>
            </w:r>
          </w:p>
        </w:tc>
        <w:tc>
          <w:tcPr>
            <w:tcW w:w="1022" w:type="dxa"/>
            <w:vAlign w:val="center"/>
          </w:tcPr>
          <w:p w14:paraId="262B727E"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1.479</w:t>
            </w:r>
          </w:p>
        </w:tc>
        <w:tc>
          <w:tcPr>
            <w:tcW w:w="868" w:type="dxa"/>
            <w:tcBorders>
              <w:top w:val="single" w:sz="4" w:space="0" w:color="000000" w:themeColor="text1"/>
            </w:tcBorders>
            <w:vAlign w:val="center"/>
          </w:tcPr>
          <w:p w14:paraId="6BD416ED"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1.456</w:t>
            </w:r>
          </w:p>
        </w:tc>
      </w:tr>
      <w:tr w:rsidR="0080515B" w:rsidRPr="000B6AA8" w14:paraId="363ED72C" w14:textId="77777777" w:rsidTr="00BE33F0">
        <w:tc>
          <w:tcPr>
            <w:tcW w:w="4230" w:type="dxa"/>
            <w:vAlign w:val="center"/>
          </w:tcPr>
          <w:p w14:paraId="5264EBB9" w14:textId="77777777" w:rsidR="0080515B" w:rsidRPr="000B6AA8" w:rsidRDefault="0080515B" w:rsidP="00BE33F0">
            <w:pPr>
              <w:rPr>
                <w:rFonts w:ascii="Times New Roman" w:hAnsi="Times New Roman" w:cs="Times New Roman"/>
              </w:rPr>
            </w:pPr>
            <w:r>
              <w:rPr>
                <w:rFonts w:ascii="Times New Roman" w:hAnsi="Times New Roman" w:cs="Times New Roman"/>
              </w:rPr>
              <w:t>Spinal Muscular Atrophy</w:t>
            </w:r>
          </w:p>
        </w:tc>
        <w:tc>
          <w:tcPr>
            <w:tcW w:w="1170" w:type="dxa"/>
            <w:vAlign w:val="center"/>
          </w:tcPr>
          <w:p w14:paraId="04B3F7AB"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0.304</w:t>
            </w:r>
          </w:p>
        </w:tc>
        <w:tc>
          <w:tcPr>
            <w:tcW w:w="1170" w:type="dxa"/>
            <w:vAlign w:val="center"/>
          </w:tcPr>
          <w:p w14:paraId="07311E56"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-0.778</w:t>
            </w:r>
          </w:p>
        </w:tc>
        <w:tc>
          <w:tcPr>
            <w:tcW w:w="1022" w:type="dxa"/>
            <w:vAlign w:val="center"/>
          </w:tcPr>
          <w:p w14:paraId="02657A19"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1.386</w:t>
            </w:r>
          </w:p>
        </w:tc>
        <w:tc>
          <w:tcPr>
            <w:tcW w:w="868" w:type="dxa"/>
            <w:vAlign w:val="center"/>
          </w:tcPr>
          <w:p w14:paraId="0A09D50C"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1.355</w:t>
            </w:r>
          </w:p>
        </w:tc>
      </w:tr>
      <w:tr w:rsidR="0080515B" w:rsidRPr="000B6AA8" w14:paraId="67772C5E" w14:textId="77777777" w:rsidTr="00BE33F0">
        <w:tc>
          <w:tcPr>
            <w:tcW w:w="4230" w:type="dxa"/>
            <w:vAlign w:val="center"/>
          </w:tcPr>
          <w:p w14:paraId="23D18B18" w14:textId="77777777" w:rsidR="0080515B" w:rsidRPr="000B6AA8" w:rsidRDefault="0080515B" w:rsidP="00BE33F0">
            <w:pPr>
              <w:rPr>
                <w:rFonts w:ascii="Times New Roman" w:hAnsi="Times New Roman" w:cs="Times New Roman"/>
              </w:rPr>
            </w:pPr>
            <w:r>
              <w:rPr>
                <w:rFonts w:ascii="Times New Roman" w:hAnsi="Times New Roman" w:cs="Times New Roman"/>
              </w:rPr>
              <w:t>Urinary Incontinence</w:t>
            </w:r>
          </w:p>
        </w:tc>
        <w:tc>
          <w:tcPr>
            <w:tcW w:w="1170" w:type="dxa"/>
            <w:vAlign w:val="center"/>
          </w:tcPr>
          <w:p w14:paraId="38D1D34A"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0.287</w:t>
            </w:r>
          </w:p>
        </w:tc>
        <w:tc>
          <w:tcPr>
            <w:tcW w:w="1170" w:type="dxa"/>
            <w:vAlign w:val="center"/>
          </w:tcPr>
          <w:p w14:paraId="64A380DE"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-0.354</w:t>
            </w:r>
          </w:p>
        </w:tc>
        <w:tc>
          <w:tcPr>
            <w:tcW w:w="1022" w:type="dxa"/>
            <w:vAlign w:val="center"/>
          </w:tcPr>
          <w:p w14:paraId="6F93AD52"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0.928</w:t>
            </w:r>
          </w:p>
        </w:tc>
        <w:tc>
          <w:tcPr>
            <w:tcW w:w="868" w:type="dxa"/>
            <w:vAlign w:val="center"/>
          </w:tcPr>
          <w:p w14:paraId="0F6D197B"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1.332</w:t>
            </w:r>
          </w:p>
        </w:tc>
      </w:tr>
      <w:tr w:rsidR="0080515B" w:rsidRPr="000B6AA8" w14:paraId="3F5BC155" w14:textId="77777777" w:rsidTr="00BE33F0">
        <w:tc>
          <w:tcPr>
            <w:tcW w:w="4230" w:type="dxa"/>
            <w:vAlign w:val="center"/>
          </w:tcPr>
          <w:p w14:paraId="61EE0430" w14:textId="77777777" w:rsidR="0080515B" w:rsidRPr="000B6AA8" w:rsidRDefault="0080515B" w:rsidP="00BE33F0">
            <w:pPr>
              <w:rPr>
                <w:rFonts w:ascii="Times New Roman" w:hAnsi="Times New Roman" w:cs="Times New Roman"/>
              </w:rPr>
            </w:pPr>
            <w:r>
              <w:rPr>
                <w:rFonts w:ascii="Times New Roman" w:hAnsi="Times New Roman" w:cs="Times New Roman"/>
              </w:rPr>
              <w:t>VP Shunt</w:t>
            </w:r>
          </w:p>
        </w:tc>
        <w:tc>
          <w:tcPr>
            <w:tcW w:w="1170" w:type="dxa"/>
            <w:vAlign w:val="center"/>
          </w:tcPr>
          <w:p w14:paraId="032390D0"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0.387</w:t>
            </w:r>
          </w:p>
        </w:tc>
        <w:tc>
          <w:tcPr>
            <w:tcW w:w="1170" w:type="dxa"/>
            <w:vAlign w:val="center"/>
          </w:tcPr>
          <w:p w14:paraId="06773A35"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-0.240</w:t>
            </w:r>
          </w:p>
        </w:tc>
        <w:tc>
          <w:tcPr>
            <w:tcW w:w="1022" w:type="dxa"/>
            <w:vAlign w:val="center"/>
          </w:tcPr>
          <w:p w14:paraId="2700B10A"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1.014</w:t>
            </w:r>
          </w:p>
        </w:tc>
        <w:tc>
          <w:tcPr>
            <w:tcW w:w="868" w:type="dxa"/>
            <w:vAlign w:val="center"/>
          </w:tcPr>
          <w:p w14:paraId="6094966D"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1.473</w:t>
            </w:r>
          </w:p>
        </w:tc>
      </w:tr>
      <w:tr w:rsidR="0080515B" w:rsidRPr="000B6AA8" w14:paraId="7E1A62A4" w14:textId="77777777" w:rsidTr="00BE33F0">
        <w:tc>
          <w:tcPr>
            <w:tcW w:w="4230" w:type="dxa"/>
            <w:vAlign w:val="center"/>
          </w:tcPr>
          <w:p w14:paraId="3E14A110" w14:textId="77777777" w:rsidR="0080515B" w:rsidRPr="000B6AA8" w:rsidRDefault="0080515B" w:rsidP="00BE33F0">
            <w:pPr>
              <w:rPr>
                <w:rFonts w:ascii="Times New Roman" w:hAnsi="Times New Roman" w:cs="Times New Roman"/>
              </w:rPr>
            </w:pPr>
            <w:r>
              <w:rPr>
                <w:rFonts w:ascii="Times New Roman" w:hAnsi="Times New Roman" w:cs="Times New Roman"/>
              </w:rPr>
              <w:t>Developmental Delay</w:t>
            </w:r>
          </w:p>
        </w:tc>
        <w:tc>
          <w:tcPr>
            <w:tcW w:w="1170" w:type="dxa"/>
            <w:vAlign w:val="center"/>
          </w:tcPr>
          <w:p w14:paraId="3873ABB8"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0.347</w:t>
            </w:r>
          </w:p>
        </w:tc>
        <w:tc>
          <w:tcPr>
            <w:tcW w:w="1170" w:type="dxa"/>
            <w:vAlign w:val="center"/>
          </w:tcPr>
          <w:p w14:paraId="488F8191"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-0.198</w:t>
            </w:r>
          </w:p>
        </w:tc>
        <w:tc>
          <w:tcPr>
            <w:tcW w:w="1022" w:type="dxa"/>
            <w:vAlign w:val="center"/>
          </w:tcPr>
          <w:p w14:paraId="446A7BB5"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0.892</w:t>
            </w:r>
          </w:p>
        </w:tc>
        <w:tc>
          <w:tcPr>
            <w:tcW w:w="868" w:type="dxa"/>
            <w:vAlign w:val="center"/>
          </w:tcPr>
          <w:p w14:paraId="44189509"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1.415</w:t>
            </w:r>
          </w:p>
        </w:tc>
      </w:tr>
      <w:tr w:rsidR="0080515B" w:rsidRPr="000B6AA8" w14:paraId="2901A869" w14:textId="77777777" w:rsidTr="00BE33F0">
        <w:tc>
          <w:tcPr>
            <w:tcW w:w="4230" w:type="dxa"/>
            <w:vAlign w:val="center"/>
          </w:tcPr>
          <w:p w14:paraId="55472EC1" w14:textId="77777777" w:rsidR="0080515B" w:rsidRPr="000B6AA8" w:rsidRDefault="0080515B" w:rsidP="00BE33F0">
            <w:pPr>
              <w:rPr>
                <w:rFonts w:ascii="Times New Roman" w:hAnsi="Times New Roman" w:cs="Times New Roman"/>
              </w:rPr>
            </w:pPr>
            <w:r>
              <w:rPr>
                <w:rFonts w:ascii="Times New Roman" w:hAnsi="Times New Roman" w:cs="Times New Roman"/>
              </w:rPr>
              <w:t>Endocrine Comorbidity</w:t>
            </w:r>
          </w:p>
        </w:tc>
        <w:tc>
          <w:tcPr>
            <w:tcW w:w="1170" w:type="dxa"/>
            <w:vAlign w:val="center"/>
          </w:tcPr>
          <w:p w14:paraId="26D981A6"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1.449</w:t>
            </w:r>
          </w:p>
        </w:tc>
        <w:tc>
          <w:tcPr>
            <w:tcW w:w="1170" w:type="dxa"/>
            <w:vAlign w:val="center"/>
          </w:tcPr>
          <w:p w14:paraId="014F877D"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0.881</w:t>
            </w:r>
          </w:p>
        </w:tc>
        <w:tc>
          <w:tcPr>
            <w:tcW w:w="1022" w:type="dxa"/>
            <w:vAlign w:val="center"/>
          </w:tcPr>
          <w:p w14:paraId="630D7324"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2.017</w:t>
            </w:r>
          </w:p>
        </w:tc>
        <w:tc>
          <w:tcPr>
            <w:tcW w:w="868" w:type="dxa"/>
            <w:vAlign w:val="center"/>
          </w:tcPr>
          <w:p w14:paraId="160716C8"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4.259</w:t>
            </w:r>
          </w:p>
        </w:tc>
      </w:tr>
      <w:tr w:rsidR="0080515B" w:rsidRPr="000B6AA8" w14:paraId="624E4BC6" w14:textId="77777777" w:rsidTr="00BE33F0">
        <w:tc>
          <w:tcPr>
            <w:tcW w:w="4230" w:type="dxa"/>
            <w:vAlign w:val="center"/>
          </w:tcPr>
          <w:p w14:paraId="3FA68F00" w14:textId="77777777" w:rsidR="0080515B" w:rsidRPr="000B6AA8" w:rsidRDefault="0080515B" w:rsidP="00BE33F0">
            <w:pPr>
              <w:rPr>
                <w:rFonts w:ascii="Times New Roman" w:hAnsi="Times New Roman" w:cs="Times New Roman"/>
              </w:rPr>
            </w:pPr>
            <w:r>
              <w:rPr>
                <w:rFonts w:ascii="Times New Roman" w:hAnsi="Times New Roman" w:cs="Times New Roman"/>
              </w:rPr>
              <w:t>Gastrointestinal Comorbidity</w:t>
            </w:r>
          </w:p>
        </w:tc>
        <w:tc>
          <w:tcPr>
            <w:tcW w:w="1170" w:type="dxa"/>
            <w:vAlign w:val="center"/>
          </w:tcPr>
          <w:p w14:paraId="73C8B815"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0.276</w:t>
            </w:r>
          </w:p>
        </w:tc>
        <w:tc>
          <w:tcPr>
            <w:tcW w:w="1170" w:type="dxa"/>
            <w:vAlign w:val="center"/>
          </w:tcPr>
          <w:p w14:paraId="764AE999"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-0.273</w:t>
            </w:r>
          </w:p>
        </w:tc>
        <w:tc>
          <w:tcPr>
            <w:tcW w:w="1022" w:type="dxa"/>
            <w:vAlign w:val="center"/>
          </w:tcPr>
          <w:p w14:paraId="32F0890B"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0.825</w:t>
            </w:r>
          </w:p>
        </w:tc>
        <w:tc>
          <w:tcPr>
            <w:tcW w:w="868" w:type="dxa"/>
            <w:vAlign w:val="center"/>
          </w:tcPr>
          <w:p w14:paraId="50C64B94"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1.318</w:t>
            </w:r>
          </w:p>
        </w:tc>
      </w:tr>
      <w:tr w:rsidR="0080515B" w:rsidRPr="000B6AA8" w14:paraId="448D4872" w14:textId="77777777" w:rsidTr="00BE33F0">
        <w:tc>
          <w:tcPr>
            <w:tcW w:w="4230" w:type="dxa"/>
            <w:vAlign w:val="center"/>
          </w:tcPr>
          <w:p w14:paraId="70BDD10E" w14:textId="77777777" w:rsidR="0080515B" w:rsidRPr="000B6AA8" w:rsidRDefault="0080515B" w:rsidP="00BE33F0">
            <w:pPr>
              <w:rPr>
                <w:rFonts w:ascii="Times New Roman" w:hAnsi="Times New Roman" w:cs="Times New Roman"/>
              </w:rPr>
            </w:pPr>
            <w:r>
              <w:rPr>
                <w:rFonts w:ascii="Times New Roman" w:hAnsi="Times New Roman" w:cs="Times New Roman"/>
              </w:rPr>
              <w:t>Pulmonary Comorbidity</w:t>
            </w:r>
          </w:p>
        </w:tc>
        <w:tc>
          <w:tcPr>
            <w:tcW w:w="1170" w:type="dxa"/>
            <w:vAlign w:val="center"/>
          </w:tcPr>
          <w:p w14:paraId="3D09F608"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0.19</w:t>
            </w:r>
          </w:p>
        </w:tc>
        <w:tc>
          <w:tcPr>
            <w:tcW w:w="1170" w:type="dxa"/>
            <w:vAlign w:val="center"/>
          </w:tcPr>
          <w:p w14:paraId="423052C5"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-0.398</w:t>
            </w:r>
          </w:p>
        </w:tc>
        <w:tc>
          <w:tcPr>
            <w:tcW w:w="1022" w:type="dxa"/>
            <w:vAlign w:val="center"/>
          </w:tcPr>
          <w:p w14:paraId="52E41C71"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0.778</w:t>
            </w:r>
          </w:p>
        </w:tc>
        <w:tc>
          <w:tcPr>
            <w:tcW w:w="868" w:type="dxa"/>
            <w:vAlign w:val="center"/>
          </w:tcPr>
          <w:p w14:paraId="142402D4" w14:textId="77777777" w:rsidR="0080515B" w:rsidRPr="00DE5A3B" w:rsidRDefault="0080515B" w:rsidP="00BE33F0">
            <w:pPr>
              <w:rPr>
                <w:rFonts w:ascii="Times New Roman" w:hAnsi="Times New Roman" w:cs="Times New Roman"/>
              </w:rPr>
            </w:pPr>
            <w:r w:rsidRPr="00DE5A3B">
              <w:rPr>
                <w:rFonts w:ascii="Times New Roman" w:hAnsi="Times New Roman" w:cs="Times New Roman"/>
                <w:color w:val="000000"/>
              </w:rPr>
              <w:t>1.209</w:t>
            </w:r>
          </w:p>
        </w:tc>
      </w:tr>
    </w:tbl>
    <w:p w14:paraId="7B21178D" w14:textId="0736CAF6" w:rsidR="0080515B" w:rsidRPr="002016C9" w:rsidRDefault="0080515B" w:rsidP="0080515B">
      <w:pPr>
        <w:rPr>
          <w:rFonts w:ascii="Times New Roman" w:hAnsi="Times New Roman" w:cs="Times New Roman"/>
        </w:rPr>
      </w:pPr>
    </w:p>
    <w:p w14:paraId="3F9169C5" w14:textId="77777777" w:rsidR="0080515B" w:rsidRPr="000B6AA8" w:rsidRDefault="0080515B" w:rsidP="0080515B">
      <w:pPr>
        <w:rPr>
          <w:rFonts w:ascii="Times New Roman" w:hAnsi="Times New Roman" w:cs="Times New Roman"/>
        </w:rPr>
      </w:pPr>
      <w:r>
        <w:rPr>
          <w:rFonts w:ascii="Times New Roman" w:hAnsi="Times New Roman" w:cs="Times New Roman"/>
        </w:rPr>
        <w:t>OR: Odds Ratio; CI: Confidence Interval; VP = Ventriculoperitoneal</w:t>
      </w:r>
    </w:p>
    <w:p w14:paraId="5A892EAF" w14:textId="77777777" w:rsidR="0080515B" w:rsidRDefault="0080515B" w:rsidP="0080515B">
      <w:pPr>
        <w:widowControl w:val="0"/>
        <w:autoSpaceDE w:val="0"/>
        <w:autoSpaceDN w:val="0"/>
        <w:adjustRightInd w:val="0"/>
        <w:ind w:left="640" w:hanging="640"/>
        <w:rPr>
          <w:rFonts w:ascii="Times New Roman" w:hAnsi="Times New Roman" w:cs="Times New Roman"/>
          <w:lang w:eastAsia="ja-JP"/>
        </w:rPr>
      </w:pPr>
    </w:p>
    <w:p w14:paraId="7D497B45" w14:textId="77777777" w:rsidR="0080515B" w:rsidRDefault="0080515B" w:rsidP="0080515B">
      <w:pPr>
        <w:widowControl w:val="0"/>
        <w:autoSpaceDE w:val="0"/>
        <w:autoSpaceDN w:val="0"/>
        <w:adjustRightInd w:val="0"/>
        <w:ind w:left="640" w:hanging="640"/>
        <w:rPr>
          <w:rFonts w:ascii="Times New Roman" w:hAnsi="Times New Roman" w:cs="Times New Roman"/>
          <w:lang w:eastAsia="ja-JP"/>
        </w:rPr>
      </w:pPr>
    </w:p>
    <w:p w14:paraId="4BFF6232" w14:textId="77777777" w:rsidR="0080515B" w:rsidRPr="00A826C1" w:rsidRDefault="0080515B" w:rsidP="0080515B">
      <w:pPr>
        <w:rPr>
          <w:rFonts w:ascii="Times New Roman" w:hAnsi="Times New Roman" w:cs="Times New Roman"/>
          <w:lang w:eastAsia="ja-JP"/>
        </w:rPr>
      </w:pPr>
      <w:r w:rsidRPr="00A826C1">
        <w:rPr>
          <w:rFonts w:ascii="Times New Roman" w:hAnsi="Times New Roman" w:cs="Times New Roman"/>
          <w:b/>
          <w:lang w:eastAsia="ja-JP"/>
        </w:rPr>
        <w:t xml:space="preserve">Figure 1: Mean observed versus mean predicted probabilities for 7 risk groups. </w:t>
      </w:r>
    </w:p>
    <w:p w14:paraId="1F66E38B" w14:textId="77777777" w:rsidR="0080515B" w:rsidRPr="00A826C1" w:rsidRDefault="0080515B" w:rsidP="0080515B">
      <w:pPr>
        <w:rPr>
          <w:rFonts w:ascii="Times New Roman" w:hAnsi="Times New Roman" w:cs="Times New Roman"/>
          <w:b/>
          <w:lang w:eastAsia="ja-JP"/>
        </w:rPr>
      </w:pPr>
    </w:p>
    <w:p w14:paraId="070AFFAE" w14:textId="383A801C" w:rsidR="0080515B" w:rsidRPr="000B6AA8" w:rsidRDefault="0080515B" w:rsidP="0080515B">
      <w:pPr>
        <w:widowControl w:val="0"/>
        <w:autoSpaceDE w:val="0"/>
        <w:autoSpaceDN w:val="0"/>
        <w:adjustRightInd w:val="0"/>
        <w:ind w:left="640" w:hanging="640"/>
        <w:rPr>
          <w:rFonts w:ascii="Times New Roman" w:hAnsi="Times New Roman" w:cs="Times New Roman"/>
          <w:lang w:eastAsia="ja-JP"/>
        </w:rPr>
      </w:pPr>
      <w:r w:rsidRPr="00A826C1">
        <w:rPr>
          <w:rFonts w:ascii="Times New Roman" w:hAnsi="Times New Roman" w:cs="Times New Roman"/>
          <w:noProof/>
        </w:rPr>
        <w:drawing>
          <wp:inline distT="0" distB="0" distL="0" distR="0" wp14:anchorId="37518A83" wp14:editId="4E3BA359">
            <wp:extent cx="5121275" cy="2565400"/>
            <wp:effectExtent l="0" t="0" r="3492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80515B" w:rsidRPr="000B6AA8" w:rsidSect="0085110D">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DCC96" w14:textId="77777777" w:rsidR="0080515B" w:rsidRDefault="0080515B" w:rsidP="0080515B">
      <w:r>
        <w:separator/>
      </w:r>
    </w:p>
  </w:endnote>
  <w:endnote w:type="continuationSeparator" w:id="0">
    <w:p w14:paraId="695C3620" w14:textId="77777777" w:rsidR="0080515B" w:rsidRDefault="0080515B" w:rsidP="0080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C9051" w14:textId="77777777" w:rsidR="0080515B" w:rsidRDefault="0080515B" w:rsidP="00782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7AE4E9" w14:textId="77777777" w:rsidR="0080515B" w:rsidRDefault="008051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2EFEB" w14:textId="77777777" w:rsidR="0080515B" w:rsidRDefault="0080515B" w:rsidP="00782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B0E">
      <w:rPr>
        <w:rStyle w:val="PageNumber"/>
        <w:noProof/>
      </w:rPr>
      <w:t>4</w:t>
    </w:r>
    <w:r>
      <w:rPr>
        <w:rStyle w:val="PageNumber"/>
      </w:rPr>
      <w:fldChar w:fldCharType="end"/>
    </w:r>
  </w:p>
  <w:p w14:paraId="5974BC26" w14:textId="77777777" w:rsidR="0080515B" w:rsidRDefault="008051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C163E" w14:textId="77777777" w:rsidR="0080515B" w:rsidRDefault="0080515B" w:rsidP="0080515B">
      <w:r>
        <w:separator/>
      </w:r>
    </w:p>
  </w:footnote>
  <w:footnote w:type="continuationSeparator" w:id="0">
    <w:p w14:paraId="74D9151C" w14:textId="77777777" w:rsidR="0080515B" w:rsidRDefault="0080515B" w:rsidP="008051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80DC4" w14:textId="77777777" w:rsidR="0080515B" w:rsidRDefault="0080515B">
    <w:pPr>
      <w:pStyle w:val="Header"/>
    </w:pPr>
    <w:sdt>
      <w:sdtPr>
        <w:id w:val="171999623"/>
        <w:placeholder>
          <w:docPart w:val="CE71199F1025BC46981548177E56C036"/>
        </w:placeholder>
        <w:temporary/>
        <w:showingPlcHdr/>
      </w:sdtPr>
      <w:sdtContent>
        <w:r>
          <w:t>[Type text]</w:t>
        </w:r>
      </w:sdtContent>
    </w:sdt>
    <w:r>
      <w:ptab w:relativeTo="margin" w:alignment="center" w:leader="none"/>
    </w:r>
    <w:sdt>
      <w:sdtPr>
        <w:id w:val="171999624"/>
        <w:placeholder>
          <w:docPart w:val="618CBD191DBCCA4CBD5A04389D1037D0"/>
        </w:placeholder>
        <w:temporary/>
        <w:showingPlcHdr/>
      </w:sdtPr>
      <w:sdtContent>
        <w:r>
          <w:t>[Type text]</w:t>
        </w:r>
      </w:sdtContent>
    </w:sdt>
    <w:r>
      <w:ptab w:relativeTo="margin" w:alignment="right" w:leader="none"/>
    </w:r>
    <w:sdt>
      <w:sdtPr>
        <w:id w:val="171999625"/>
        <w:placeholder>
          <w:docPart w:val="E391FB1028945442BD6F1F25E497F83B"/>
        </w:placeholder>
        <w:temporary/>
        <w:showingPlcHdr/>
      </w:sdtPr>
      <w:sdtContent>
        <w:r>
          <w:t>[Type text]</w:t>
        </w:r>
      </w:sdtContent>
    </w:sdt>
  </w:p>
  <w:p w14:paraId="3511FC5A" w14:textId="77777777" w:rsidR="0080515B" w:rsidRDefault="008051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B685" w14:textId="433B66A9" w:rsidR="0080515B" w:rsidRDefault="0080515B">
    <w:pPr>
      <w:pStyle w:val="Header"/>
    </w:pPr>
    <w:r>
      <w:ptab w:relativeTo="margin" w:alignment="center" w:leader="none"/>
    </w:r>
    <w:r>
      <w:ptab w:relativeTo="margin" w:alignment="right" w:leader="none"/>
    </w:r>
    <w:r>
      <w:t>RSS Predicting SSI in EOS</w:t>
    </w:r>
  </w:p>
  <w:p w14:paraId="4F96767D" w14:textId="77777777" w:rsidR="0080515B" w:rsidRDefault="008051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0141"/>
    <w:multiLevelType w:val="hybridMultilevel"/>
    <w:tmpl w:val="8D601924"/>
    <w:lvl w:ilvl="0" w:tplc="13806906">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2DA0215C"/>
    <w:multiLevelType w:val="hybridMultilevel"/>
    <w:tmpl w:val="2A2E7830"/>
    <w:lvl w:ilvl="0" w:tplc="A0C08C8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A"/>
    <w:rsid w:val="00050C83"/>
    <w:rsid w:val="0006425D"/>
    <w:rsid w:val="0007019C"/>
    <w:rsid w:val="00074507"/>
    <w:rsid w:val="000944B4"/>
    <w:rsid w:val="000B6AA8"/>
    <w:rsid w:val="000E19DC"/>
    <w:rsid w:val="00111493"/>
    <w:rsid w:val="0013760A"/>
    <w:rsid w:val="00151C99"/>
    <w:rsid w:val="001757C6"/>
    <w:rsid w:val="00194772"/>
    <w:rsid w:val="002155E6"/>
    <w:rsid w:val="00234072"/>
    <w:rsid w:val="002509F4"/>
    <w:rsid w:val="00272BB9"/>
    <w:rsid w:val="002A10D3"/>
    <w:rsid w:val="002E3AE5"/>
    <w:rsid w:val="002E665B"/>
    <w:rsid w:val="00310770"/>
    <w:rsid w:val="003312D7"/>
    <w:rsid w:val="00396330"/>
    <w:rsid w:val="003B0126"/>
    <w:rsid w:val="003C14FA"/>
    <w:rsid w:val="003C5560"/>
    <w:rsid w:val="003C74D4"/>
    <w:rsid w:val="003D0789"/>
    <w:rsid w:val="004207EF"/>
    <w:rsid w:val="00441527"/>
    <w:rsid w:val="004438F9"/>
    <w:rsid w:val="004B7501"/>
    <w:rsid w:val="004E5BC2"/>
    <w:rsid w:val="0050396C"/>
    <w:rsid w:val="00554B06"/>
    <w:rsid w:val="0055522A"/>
    <w:rsid w:val="00563E53"/>
    <w:rsid w:val="005701B5"/>
    <w:rsid w:val="005940DC"/>
    <w:rsid w:val="005A17B2"/>
    <w:rsid w:val="00624B56"/>
    <w:rsid w:val="006A150F"/>
    <w:rsid w:val="006B0EF1"/>
    <w:rsid w:val="006D77AB"/>
    <w:rsid w:val="007063EB"/>
    <w:rsid w:val="007D0AE3"/>
    <w:rsid w:val="007E067E"/>
    <w:rsid w:val="007E603D"/>
    <w:rsid w:val="0080515B"/>
    <w:rsid w:val="00807181"/>
    <w:rsid w:val="0085110D"/>
    <w:rsid w:val="008C7B0E"/>
    <w:rsid w:val="008F59F7"/>
    <w:rsid w:val="009148F5"/>
    <w:rsid w:val="009371E0"/>
    <w:rsid w:val="00965142"/>
    <w:rsid w:val="009A5066"/>
    <w:rsid w:val="009E6C44"/>
    <w:rsid w:val="00A049E0"/>
    <w:rsid w:val="00A07109"/>
    <w:rsid w:val="00A13A64"/>
    <w:rsid w:val="00A22E5B"/>
    <w:rsid w:val="00A27CB7"/>
    <w:rsid w:val="00A826C1"/>
    <w:rsid w:val="00A9373E"/>
    <w:rsid w:val="00AD2172"/>
    <w:rsid w:val="00B01CEE"/>
    <w:rsid w:val="00B22DF3"/>
    <w:rsid w:val="00B26E05"/>
    <w:rsid w:val="00B4095D"/>
    <w:rsid w:val="00B60EEA"/>
    <w:rsid w:val="00B663AE"/>
    <w:rsid w:val="00C03A6B"/>
    <w:rsid w:val="00C14494"/>
    <w:rsid w:val="00C43DF8"/>
    <w:rsid w:val="00C61C2F"/>
    <w:rsid w:val="00C81C31"/>
    <w:rsid w:val="00CA70B5"/>
    <w:rsid w:val="00CC1769"/>
    <w:rsid w:val="00CD602F"/>
    <w:rsid w:val="00CE11E5"/>
    <w:rsid w:val="00D33FAE"/>
    <w:rsid w:val="00D83487"/>
    <w:rsid w:val="00DB6F08"/>
    <w:rsid w:val="00DE5A3B"/>
    <w:rsid w:val="00EA4E42"/>
    <w:rsid w:val="00EB3F44"/>
    <w:rsid w:val="00ED4EE0"/>
    <w:rsid w:val="00EE6171"/>
    <w:rsid w:val="00EE6786"/>
    <w:rsid w:val="00F62A41"/>
    <w:rsid w:val="00F75082"/>
    <w:rsid w:val="00FC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40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26E05"/>
    <w:rPr>
      <w:rFonts w:ascii="Calibri" w:eastAsia="MS Mincho" w:hAnsi="Calibri" w:cs="Times New Roman"/>
      <w:sz w:val="22"/>
      <w:szCs w:val="22"/>
    </w:rPr>
  </w:style>
  <w:style w:type="table" w:styleId="TableGrid">
    <w:name w:val="Table Grid"/>
    <w:basedOn w:val="TableNormal"/>
    <w:uiPriority w:val="59"/>
    <w:rsid w:val="00050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2E5B"/>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A826C1"/>
    <w:rPr>
      <w:rFonts w:ascii="Tahoma" w:hAnsi="Tahoma" w:cs="Tahoma"/>
      <w:sz w:val="16"/>
      <w:szCs w:val="16"/>
    </w:rPr>
  </w:style>
  <w:style w:type="character" w:customStyle="1" w:styleId="BalloonTextChar">
    <w:name w:val="Balloon Text Char"/>
    <w:basedOn w:val="DefaultParagraphFont"/>
    <w:link w:val="BalloonText"/>
    <w:uiPriority w:val="99"/>
    <w:semiHidden/>
    <w:rsid w:val="00A826C1"/>
    <w:rPr>
      <w:rFonts w:ascii="Tahoma" w:hAnsi="Tahoma" w:cs="Tahoma"/>
      <w:sz w:val="16"/>
      <w:szCs w:val="16"/>
    </w:rPr>
  </w:style>
  <w:style w:type="paragraph" w:styleId="Footer">
    <w:name w:val="footer"/>
    <w:basedOn w:val="Normal"/>
    <w:link w:val="FooterChar"/>
    <w:uiPriority w:val="99"/>
    <w:unhideWhenUsed/>
    <w:rsid w:val="0080515B"/>
    <w:pPr>
      <w:tabs>
        <w:tab w:val="center" w:pos="4320"/>
        <w:tab w:val="right" w:pos="8640"/>
      </w:tabs>
    </w:pPr>
  </w:style>
  <w:style w:type="character" w:customStyle="1" w:styleId="FooterChar">
    <w:name w:val="Footer Char"/>
    <w:basedOn w:val="DefaultParagraphFont"/>
    <w:link w:val="Footer"/>
    <w:uiPriority w:val="99"/>
    <w:rsid w:val="0080515B"/>
  </w:style>
  <w:style w:type="character" w:styleId="PageNumber">
    <w:name w:val="page number"/>
    <w:basedOn w:val="DefaultParagraphFont"/>
    <w:uiPriority w:val="99"/>
    <w:semiHidden/>
    <w:unhideWhenUsed/>
    <w:rsid w:val="0080515B"/>
  </w:style>
  <w:style w:type="paragraph" w:styleId="Header">
    <w:name w:val="header"/>
    <w:basedOn w:val="Normal"/>
    <w:link w:val="HeaderChar"/>
    <w:uiPriority w:val="99"/>
    <w:unhideWhenUsed/>
    <w:rsid w:val="0080515B"/>
    <w:pPr>
      <w:tabs>
        <w:tab w:val="center" w:pos="4320"/>
        <w:tab w:val="right" w:pos="8640"/>
      </w:tabs>
    </w:pPr>
  </w:style>
  <w:style w:type="character" w:customStyle="1" w:styleId="HeaderChar">
    <w:name w:val="Header Char"/>
    <w:basedOn w:val="DefaultParagraphFont"/>
    <w:link w:val="Header"/>
    <w:uiPriority w:val="99"/>
    <w:rsid w:val="008051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26E05"/>
    <w:rPr>
      <w:rFonts w:ascii="Calibri" w:eastAsia="MS Mincho" w:hAnsi="Calibri" w:cs="Times New Roman"/>
      <w:sz w:val="22"/>
      <w:szCs w:val="22"/>
    </w:rPr>
  </w:style>
  <w:style w:type="table" w:styleId="TableGrid">
    <w:name w:val="Table Grid"/>
    <w:basedOn w:val="TableNormal"/>
    <w:uiPriority w:val="59"/>
    <w:rsid w:val="00050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2E5B"/>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A826C1"/>
    <w:rPr>
      <w:rFonts w:ascii="Tahoma" w:hAnsi="Tahoma" w:cs="Tahoma"/>
      <w:sz w:val="16"/>
      <w:szCs w:val="16"/>
    </w:rPr>
  </w:style>
  <w:style w:type="character" w:customStyle="1" w:styleId="BalloonTextChar">
    <w:name w:val="Balloon Text Char"/>
    <w:basedOn w:val="DefaultParagraphFont"/>
    <w:link w:val="BalloonText"/>
    <w:uiPriority w:val="99"/>
    <w:semiHidden/>
    <w:rsid w:val="00A826C1"/>
    <w:rPr>
      <w:rFonts w:ascii="Tahoma" w:hAnsi="Tahoma" w:cs="Tahoma"/>
      <w:sz w:val="16"/>
      <w:szCs w:val="16"/>
    </w:rPr>
  </w:style>
  <w:style w:type="paragraph" w:styleId="Footer">
    <w:name w:val="footer"/>
    <w:basedOn w:val="Normal"/>
    <w:link w:val="FooterChar"/>
    <w:uiPriority w:val="99"/>
    <w:unhideWhenUsed/>
    <w:rsid w:val="0080515B"/>
    <w:pPr>
      <w:tabs>
        <w:tab w:val="center" w:pos="4320"/>
        <w:tab w:val="right" w:pos="8640"/>
      </w:tabs>
    </w:pPr>
  </w:style>
  <w:style w:type="character" w:customStyle="1" w:styleId="FooterChar">
    <w:name w:val="Footer Char"/>
    <w:basedOn w:val="DefaultParagraphFont"/>
    <w:link w:val="Footer"/>
    <w:uiPriority w:val="99"/>
    <w:rsid w:val="0080515B"/>
  </w:style>
  <w:style w:type="character" w:styleId="PageNumber">
    <w:name w:val="page number"/>
    <w:basedOn w:val="DefaultParagraphFont"/>
    <w:uiPriority w:val="99"/>
    <w:semiHidden/>
    <w:unhideWhenUsed/>
    <w:rsid w:val="0080515B"/>
  </w:style>
  <w:style w:type="paragraph" w:styleId="Header">
    <w:name w:val="header"/>
    <w:basedOn w:val="Normal"/>
    <w:link w:val="HeaderChar"/>
    <w:uiPriority w:val="99"/>
    <w:unhideWhenUsed/>
    <w:rsid w:val="0080515B"/>
    <w:pPr>
      <w:tabs>
        <w:tab w:val="center" w:pos="4320"/>
        <w:tab w:val="right" w:pos="8640"/>
      </w:tabs>
    </w:pPr>
  </w:style>
  <w:style w:type="character" w:customStyle="1" w:styleId="HeaderChar">
    <w:name w:val="Header Char"/>
    <w:basedOn w:val="DefaultParagraphFont"/>
    <w:link w:val="Header"/>
    <w:uiPriority w:val="99"/>
    <w:rsid w:val="0080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2854">
      <w:bodyDiv w:val="1"/>
      <w:marLeft w:val="0"/>
      <w:marRight w:val="0"/>
      <w:marTop w:val="0"/>
      <w:marBottom w:val="0"/>
      <w:divBdr>
        <w:top w:val="none" w:sz="0" w:space="0" w:color="auto"/>
        <w:left w:val="none" w:sz="0" w:space="0" w:color="auto"/>
        <w:bottom w:val="none" w:sz="0" w:space="0" w:color="auto"/>
        <w:right w:val="none" w:sz="0" w:space="0" w:color="auto"/>
      </w:divBdr>
      <w:divsChild>
        <w:div w:id="1655329080">
          <w:marLeft w:val="0"/>
          <w:marRight w:val="0"/>
          <w:marTop w:val="0"/>
          <w:marBottom w:val="0"/>
          <w:divBdr>
            <w:top w:val="none" w:sz="0" w:space="0" w:color="auto"/>
            <w:left w:val="none" w:sz="0" w:space="0" w:color="auto"/>
            <w:bottom w:val="none" w:sz="0" w:space="0" w:color="auto"/>
            <w:right w:val="none" w:sz="0" w:space="0" w:color="auto"/>
          </w:divBdr>
        </w:div>
        <w:div w:id="2095274410">
          <w:marLeft w:val="0"/>
          <w:marRight w:val="0"/>
          <w:marTop w:val="0"/>
          <w:marBottom w:val="0"/>
          <w:divBdr>
            <w:top w:val="none" w:sz="0" w:space="0" w:color="auto"/>
            <w:left w:val="none" w:sz="0" w:space="0" w:color="auto"/>
            <w:bottom w:val="none" w:sz="0" w:space="0" w:color="auto"/>
            <w:right w:val="none" w:sz="0" w:space="0" w:color="auto"/>
          </w:divBdr>
        </w:div>
        <w:div w:id="1861553900">
          <w:marLeft w:val="0"/>
          <w:marRight w:val="0"/>
          <w:marTop w:val="0"/>
          <w:marBottom w:val="0"/>
          <w:divBdr>
            <w:top w:val="none" w:sz="0" w:space="0" w:color="auto"/>
            <w:left w:val="none" w:sz="0" w:space="0" w:color="auto"/>
            <w:bottom w:val="none" w:sz="0" w:space="0" w:color="auto"/>
            <w:right w:val="none" w:sz="0" w:space="0" w:color="auto"/>
          </w:divBdr>
        </w:div>
      </w:divsChild>
    </w:div>
    <w:div w:id="732584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hirokomatsumoto:Library:Caches:TemporaryItems:Outlook%20Temp:EOS%20RSS%20HosmerLemesho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tx1"/>
              </a:solidFill>
              <a:ln w="9525">
                <a:solidFill>
                  <a:schemeClr val="tx1"/>
                </a:solidFill>
              </a:ln>
              <a:effectLst/>
            </c:spPr>
          </c:marker>
          <c:xVal>
            <c:numRef>
              <c:f>Sheet1!$G$2:$G$8</c:f>
              <c:numCache>
                <c:formatCode>General</c:formatCode>
                <c:ptCount val="7"/>
                <c:pt idx="0">
                  <c:v>0.0225872689938398</c:v>
                </c:pt>
                <c:pt idx="1">
                  <c:v>0.05</c:v>
                </c:pt>
                <c:pt idx="2">
                  <c:v>0.0825688073394495</c:v>
                </c:pt>
                <c:pt idx="3">
                  <c:v>0.0964912280701754</c:v>
                </c:pt>
                <c:pt idx="4">
                  <c:v>0.0598290598290598</c:v>
                </c:pt>
                <c:pt idx="5">
                  <c:v>0.144067796610169</c:v>
                </c:pt>
                <c:pt idx="6">
                  <c:v>0.174757281553398</c:v>
                </c:pt>
              </c:numCache>
            </c:numRef>
          </c:xVal>
          <c:yVal>
            <c:numRef>
              <c:f>Sheet1!$H$2:$H$8</c:f>
              <c:numCache>
                <c:formatCode>General</c:formatCode>
                <c:ptCount val="7"/>
                <c:pt idx="0">
                  <c:v>0.0334106776180698</c:v>
                </c:pt>
                <c:pt idx="1">
                  <c:v>0.0410083333333333</c:v>
                </c:pt>
                <c:pt idx="2">
                  <c:v>0.0504862385321101</c:v>
                </c:pt>
                <c:pt idx="3">
                  <c:v>0.0703157894736842</c:v>
                </c:pt>
                <c:pt idx="4">
                  <c:v>0.0956581196581196</c:v>
                </c:pt>
                <c:pt idx="5">
                  <c:v>0.118025423728814</c:v>
                </c:pt>
                <c:pt idx="6">
                  <c:v>0.186126213592233</c:v>
                </c:pt>
              </c:numCache>
            </c:numRef>
          </c:yVal>
          <c:smooth val="0"/>
        </c:ser>
        <c:ser>
          <c:idx val="1"/>
          <c:order val="1"/>
          <c:spPr>
            <a:ln w="25400" cap="rnd">
              <a:noFill/>
              <a:round/>
            </a:ln>
            <a:effectLst/>
          </c:spPr>
          <c:marker>
            <c:symbol val="circle"/>
            <c:size val="5"/>
            <c:spPr>
              <a:solidFill>
                <a:schemeClr val="accent2"/>
              </a:solidFill>
              <a:ln w="9525">
                <a:solidFill>
                  <a:schemeClr val="accent2"/>
                </a:solidFill>
              </a:ln>
              <a:effectLst/>
            </c:spPr>
          </c:marker>
          <c:dPt>
            <c:idx val="0"/>
            <c:marker>
              <c:symbol val="none"/>
            </c:marker>
            <c:bubble3D val="0"/>
          </c:dPt>
          <c:dPt>
            <c:idx val="1"/>
            <c:marker>
              <c:symbol val="none"/>
            </c:marker>
            <c:bubble3D val="0"/>
            <c:spPr>
              <a:ln w="12700" cap="rnd">
                <a:solidFill>
                  <a:schemeClr val="tx1"/>
                </a:solidFill>
                <a:prstDash val="sysDash"/>
                <a:round/>
              </a:ln>
              <a:effectLst/>
            </c:spPr>
          </c:dPt>
          <c:xVal>
            <c:numRef>
              <c:f>Sheet1!$I$2:$I$3</c:f>
              <c:numCache>
                <c:formatCode>General</c:formatCode>
                <c:ptCount val="2"/>
                <c:pt idx="0">
                  <c:v>0.0</c:v>
                </c:pt>
                <c:pt idx="1">
                  <c:v>0.25</c:v>
                </c:pt>
              </c:numCache>
            </c:numRef>
          </c:xVal>
          <c:yVal>
            <c:numRef>
              <c:f>Sheet1!$J$2:$J$3</c:f>
              <c:numCache>
                <c:formatCode>General</c:formatCode>
                <c:ptCount val="2"/>
                <c:pt idx="0">
                  <c:v>0.0</c:v>
                </c:pt>
                <c:pt idx="1">
                  <c:v>0.25</c:v>
                </c:pt>
              </c:numCache>
            </c:numRef>
          </c:yVal>
          <c:smooth val="0"/>
        </c:ser>
        <c:dLbls>
          <c:showLegendKey val="0"/>
          <c:showVal val="0"/>
          <c:showCatName val="0"/>
          <c:showSerName val="0"/>
          <c:showPercent val="0"/>
          <c:showBubbleSize val="0"/>
        </c:dLbls>
        <c:axId val="-2061342008"/>
        <c:axId val="-2144095832"/>
      </c:scatterChart>
      <c:valAx>
        <c:axId val="-2061342008"/>
        <c:scaling>
          <c:orientation val="minMax"/>
          <c:max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Observed</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095832"/>
        <c:crosses val="autoZero"/>
        <c:crossBetween val="midCat"/>
      </c:valAx>
      <c:valAx>
        <c:axId val="-2144095832"/>
        <c:scaling>
          <c:orientation val="minMax"/>
          <c:max val="0.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Predicted</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1342008"/>
        <c:crosses val="autoZero"/>
        <c:crossBetween val="midCat"/>
        <c:majorUnit val="0.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71199F1025BC46981548177E56C036"/>
        <w:category>
          <w:name w:val="General"/>
          <w:gallery w:val="placeholder"/>
        </w:category>
        <w:types>
          <w:type w:val="bbPlcHdr"/>
        </w:types>
        <w:behaviors>
          <w:behavior w:val="content"/>
        </w:behaviors>
        <w:guid w:val="{0E9E6A4E-1985-874C-9CAA-6421C5107F13}"/>
      </w:docPartPr>
      <w:docPartBody>
        <w:p w14:paraId="02F8647E" w14:textId="78A6AA67" w:rsidR="00000000" w:rsidRDefault="005841F4" w:rsidP="005841F4">
          <w:pPr>
            <w:pStyle w:val="CE71199F1025BC46981548177E56C036"/>
          </w:pPr>
          <w:r>
            <w:t>[Type text]</w:t>
          </w:r>
        </w:p>
      </w:docPartBody>
    </w:docPart>
    <w:docPart>
      <w:docPartPr>
        <w:name w:val="618CBD191DBCCA4CBD5A04389D1037D0"/>
        <w:category>
          <w:name w:val="General"/>
          <w:gallery w:val="placeholder"/>
        </w:category>
        <w:types>
          <w:type w:val="bbPlcHdr"/>
        </w:types>
        <w:behaviors>
          <w:behavior w:val="content"/>
        </w:behaviors>
        <w:guid w:val="{49D6D6D2-0051-044A-B5A0-57793128390B}"/>
      </w:docPartPr>
      <w:docPartBody>
        <w:p w14:paraId="6D6E90C9" w14:textId="78942DD7" w:rsidR="00000000" w:rsidRDefault="005841F4" w:rsidP="005841F4">
          <w:pPr>
            <w:pStyle w:val="618CBD191DBCCA4CBD5A04389D1037D0"/>
          </w:pPr>
          <w:r>
            <w:t>[Type text]</w:t>
          </w:r>
        </w:p>
      </w:docPartBody>
    </w:docPart>
    <w:docPart>
      <w:docPartPr>
        <w:name w:val="E391FB1028945442BD6F1F25E497F83B"/>
        <w:category>
          <w:name w:val="General"/>
          <w:gallery w:val="placeholder"/>
        </w:category>
        <w:types>
          <w:type w:val="bbPlcHdr"/>
        </w:types>
        <w:behaviors>
          <w:behavior w:val="content"/>
        </w:behaviors>
        <w:guid w:val="{B47A61AC-2B1C-5943-B3E2-C3CDAAD5DE2C}"/>
      </w:docPartPr>
      <w:docPartBody>
        <w:p w14:paraId="7F3EAE7F" w14:textId="36C5960A" w:rsidR="00000000" w:rsidRDefault="005841F4" w:rsidP="005841F4">
          <w:pPr>
            <w:pStyle w:val="E391FB1028945442BD6F1F25E497F83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F4"/>
    <w:rsid w:val="0058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71199F1025BC46981548177E56C036">
    <w:name w:val="CE71199F1025BC46981548177E56C036"/>
    <w:rsid w:val="005841F4"/>
  </w:style>
  <w:style w:type="paragraph" w:customStyle="1" w:styleId="618CBD191DBCCA4CBD5A04389D1037D0">
    <w:name w:val="618CBD191DBCCA4CBD5A04389D1037D0"/>
    <w:rsid w:val="005841F4"/>
  </w:style>
  <w:style w:type="paragraph" w:customStyle="1" w:styleId="E391FB1028945442BD6F1F25E497F83B">
    <w:name w:val="E391FB1028945442BD6F1F25E497F83B"/>
    <w:rsid w:val="005841F4"/>
  </w:style>
  <w:style w:type="paragraph" w:customStyle="1" w:styleId="4F9C4C83E31D0C47A94B758253915578">
    <w:name w:val="4F9C4C83E31D0C47A94B758253915578"/>
    <w:rsid w:val="005841F4"/>
  </w:style>
  <w:style w:type="paragraph" w:customStyle="1" w:styleId="9C2FFD8507DB3D4D866A232BB9971243">
    <w:name w:val="9C2FFD8507DB3D4D866A232BB9971243"/>
    <w:rsid w:val="005841F4"/>
  </w:style>
  <w:style w:type="paragraph" w:customStyle="1" w:styleId="3C60DCC88B5C4343BFAC52016CA1AEA7">
    <w:name w:val="3C60DCC88B5C4343BFAC52016CA1AEA7"/>
    <w:rsid w:val="005841F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71199F1025BC46981548177E56C036">
    <w:name w:val="CE71199F1025BC46981548177E56C036"/>
    <w:rsid w:val="005841F4"/>
  </w:style>
  <w:style w:type="paragraph" w:customStyle="1" w:styleId="618CBD191DBCCA4CBD5A04389D1037D0">
    <w:name w:val="618CBD191DBCCA4CBD5A04389D1037D0"/>
    <w:rsid w:val="005841F4"/>
  </w:style>
  <w:style w:type="paragraph" w:customStyle="1" w:styleId="E391FB1028945442BD6F1F25E497F83B">
    <w:name w:val="E391FB1028945442BD6F1F25E497F83B"/>
    <w:rsid w:val="005841F4"/>
  </w:style>
  <w:style w:type="paragraph" w:customStyle="1" w:styleId="4F9C4C83E31D0C47A94B758253915578">
    <w:name w:val="4F9C4C83E31D0C47A94B758253915578"/>
    <w:rsid w:val="005841F4"/>
  </w:style>
  <w:style w:type="paragraph" w:customStyle="1" w:styleId="9C2FFD8507DB3D4D866A232BB9971243">
    <w:name w:val="9C2FFD8507DB3D4D866A232BB9971243"/>
    <w:rsid w:val="005841F4"/>
  </w:style>
  <w:style w:type="paragraph" w:customStyle="1" w:styleId="3C60DCC88B5C4343BFAC52016CA1AEA7">
    <w:name w:val="3C60DCC88B5C4343BFAC52016CA1AEA7"/>
    <w:rsid w:val="00584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33B9-2D77-1B46-B698-E03E4B46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22051</Words>
  <Characters>125696</Characters>
  <Application>Microsoft Macintosh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Matsumoto</dc:creator>
  <cp:lastModifiedBy>Hiroko Matsumoto</cp:lastModifiedBy>
  <cp:revision>4</cp:revision>
  <dcterms:created xsi:type="dcterms:W3CDTF">2017-08-16T00:45:00Z</dcterms:created>
  <dcterms:modified xsi:type="dcterms:W3CDTF">2017-08-16T00:56:00Z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e3b81304-c690-306b-bc09-aedec98cd496</vt:lpwstr>
  </property>
  <property fmtid="{D5CDD505-2E9C-101B-9397-08002B2CF9AE}" pid="4" name="Mendeley Citation Style_1">
    <vt:lpwstr>http://www.zotero.org/styles/the-journal-of-bone-and-joint-surgery</vt:lpwstr>
  </property>
  <property fmtid="{D5CDD505-2E9C-101B-9397-08002B2CF9AE}" pid="5" name="Mendeley Recent Style Id 0_1">
    <vt:lpwstr>http://www.zotero.org/styles/american-journal-of-epidemiology</vt:lpwstr>
  </property>
  <property fmtid="{D5CDD505-2E9C-101B-9397-08002B2CF9AE}" pid="6" name="Mendeley Recent Style Name 0_1">
    <vt:lpwstr>American Journal of Epidemiology</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http://www.zotero.org/styles/the-journal-of-bone-and-joint-surgery</vt:lpwstr>
  </property>
  <property fmtid="{D5CDD505-2E9C-101B-9397-08002B2CF9AE}" pid="24" name="Mendeley Recent Style Name 9_1">
    <vt:lpwstr>The Journal of Bone &amp; Joint Surgery</vt:lpwstr>
  </property>
</Properties>
</file>